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600" w:lineRule="auto"/>
        <w:jc w:val="center"/>
        <w:rPr>
          <w:rFonts w:ascii="黑体" w:hAnsi="黑体" w:eastAsia="黑体" w:cs="Arial"/>
          <w:b/>
          <w:sz w:val="52"/>
        </w:rPr>
      </w:pPr>
      <w:r>
        <w:rPr>
          <w:rFonts w:hint="eastAsia" w:ascii="黑体" w:hAnsi="黑体" w:eastAsia="黑体" w:cs="Arial"/>
          <w:b/>
          <w:sz w:val="52"/>
        </w:rPr>
        <w:t>关于国有企业改革的服务方案</w:t>
      </w: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r>
        <w:rPr>
          <w:rFonts w:ascii="仿宋" w:hAnsi="仿宋" w:cs="Arial"/>
          <w:b/>
          <w:sz w:val="28"/>
        </w:rPr>
        <w:drawing>
          <wp:inline distT="0" distB="0" distL="0" distR="0">
            <wp:extent cx="2567305" cy="1029335"/>
            <wp:effectExtent l="0" t="0" r="4445" b="0"/>
            <wp:docPr id="133" name="图片 133" descr="C:\Users\HP\AppData\Local\Temp\WeChat Files\284829326053130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C:\Users\HP\AppData\Local\Temp\WeChat Files\2848293260531303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17377" cy="1049421"/>
                    </a:xfrm>
                    <a:prstGeom prst="rect">
                      <a:avLst/>
                    </a:prstGeom>
                    <a:noFill/>
                    <a:ln>
                      <a:noFill/>
                    </a:ln>
                  </pic:spPr>
                </pic:pic>
              </a:graphicData>
            </a:graphic>
          </wp:inline>
        </w:drawing>
      </w:r>
    </w:p>
    <w:p>
      <w:pPr>
        <w:spacing w:line="360" w:lineRule="auto"/>
        <w:ind w:firstLine="562" w:firstLineChars="200"/>
        <w:jc w:val="center"/>
        <w:rPr>
          <w:rFonts w:ascii="仿宋" w:hAnsi="仿宋" w:cs="Arial"/>
          <w:b/>
          <w:sz w:val="28"/>
        </w:rPr>
      </w:pPr>
    </w:p>
    <w:p>
      <w:pPr>
        <w:spacing w:line="360" w:lineRule="auto"/>
        <w:ind w:firstLine="562" w:firstLineChars="200"/>
        <w:jc w:val="center"/>
        <w:rPr>
          <w:rFonts w:ascii="仿宋" w:hAnsi="仿宋" w:cs="Arial"/>
          <w:b/>
          <w:sz w:val="28"/>
        </w:rPr>
      </w:pPr>
    </w:p>
    <w:p>
      <w:pPr>
        <w:spacing w:line="360" w:lineRule="auto"/>
        <w:ind w:firstLine="640" w:firstLineChars="200"/>
        <w:jc w:val="center"/>
        <w:rPr>
          <w:rFonts w:ascii="黑体" w:hAnsi="黑体" w:eastAsia="黑体" w:cs="Arial"/>
          <w:b/>
          <w:sz w:val="32"/>
          <w:szCs w:val="32"/>
        </w:rPr>
      </w:pPr>
      <w:r>
        <w:rPr>
          <w:rFonts w:hint="eastAsia" w:ascii="黑体" w:hAnsi="黑体" w:eastAsia="黑体" w:cs="Arial"/>
          <w:sz w:val="32"/>
          <w:szCs w:val="32"/>
        </w:rPr>
        <w:t>中至远（北京）管理咨询有限公司</w:t>
      </w:r>
    </w:p>
    <w:p>
      <w:pPr>
        <w:spacing w:line="360" w:lineRule="auto"/>
        <w:ind w:firstLine="643" w:firstLineChars="200"/>
        <w:jc w:val="center"/>
        <w:rPr>
          <w:rFonts w:ascii="黑体" w:hAnsi="黑体" w:eastAsia="黑体" w:cs="Arial"/>
          <w:b/>
          <w:sz w:val="32"/>
          <w:szCs w:val="32"/>
        </w:rPr>
      </w:pPr>
      <w:r>
        <w:rPr>
          <w:rFonts w:hint="eastAsia" w:ascii="黑体" w:hAnsi="黑体" w:eastAsia="黑体" w:cs="Arial"/>
          <w:b/>
          <w:sz w:val="32"/>
          <w:szCs w:val="32"/>
        </w:rPr>
        <w:t>2019年1月</w:t>
      </w:r>
    </w:p>
    <w:p>
      <w:pPr>
        <w:spacing w:line="360" w:lineRule="auto"/>
        <w:jc w:val="center"/>
        <w:rPr>
          <w:rFonts w:hint="eastAsia" w:ascii="华文中宋" w:hAnsi="华文中宋" w:eastAsia="华文中宋" w:cs="Arial"/>
          <w:b/>
          <w:sz w:val="32"/>
          <w:szCs w:val="32"/>
          <w:lang w:val="en-US" w:eastAsia="zh-CN"/>
        </w:rPr>
      </w:pPr>
      <w:r>
        <w:rPr>
          <w:rFonts w:hint="eastAsia" w:ascii="华文中宋" w:hAnsi="华文中宋" w:eastAsia="华文中宋" w:cs="Arial"/>
          <w:b/>
          <w:sz w:val="32"/>
          <w:szCs w:val="32"/>
          <w:lang w:val="en-US" w:eastAsia="zh-CN"/>
        </w:rPr>
        <w:t>目录</w:t>
      </w:r>
    </w:p>
    <w:p>
      <w:pPr>
        <w:pStyle w:val="8"/>
        <w:tabs>
          <w:tab w:val="right" w:leader="dot" w:pos="7824"/>
        </w:tabs>
      </w:pPr>
      <w:r>
        <w:rPr>
          <w:rFonts w:ascii="华文中宋" w:hAnsi="华文中宋" w:eastAsia="华文中宋" w:cs="Arial"/>
          <w:b/>
          <w:sz w:val="32"/>
          <w:szCs w:val="32"/>
        </w:rPr>
        <w:fldChar w:fldCharType="begin"/>
      </w:r>
      <w:r>
        <w:rPr>
          <w:rFonts w:ascii="华文中宋" w:hAnsi="华文中宋" w:eastAsia="华文中宋" w:cs="Arial"/>
          <w:b/>
          <w:sz w:val="32"/>
          <w:szCs w:val="32"/>
        </w:rPr>
        <w:instrText xml:space="preserve">TOC \o "1-2" \h \u </w:instrText>
      </w:r>
      <w:r>
        <w:rPr>
          <w:rFonts w:ascii="华文中宋" w:hAnsi="华文中宋" w:eastAsia="华文中宋" w:cs="Arial"/>
          <w:b/>
          <w:sz w:val="32"/>
          <w:szCs w:val="32"/>
        </w:rPr>
        <w:fldChar w:fldCharType="separate"/>
      </w: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_Toc12509 </w:instrText>
      </w:r>
      <w:r>
        <w:rPr>
          <w:rFonts w:ascii="华文中宋" w:hAnsi="华文中宋" w:eastAsia="华文中宋" w:cs="Arial"/>
          <w:szCs w:val="32"/>
        </w:rPr>
        <w:fldChar w:fldCharType="separate"/>
      </w:r>
      <w:r>
        <w:rPr>
          <w:rFonts w:hint="eastAsia"/>
        </w:rPr>
        <w:t>一、公司基本介绍</w:t>
      </w:r>
      <w:r>
        <w:tab/>
      </w:r>
      <w:r>
        <w:fldChar w:fldCharType="begin"/>
      </w:r>
      <w:r>
        <w:instrText xml:space="preserve"> PAGEREF _Toc12509 </w:instrText>
      </w:r>
      <w:r>
        <w:fldChar w:fldCharType="separate"/>
      </w:r>
      <w:r>
        <w:t>1</w:t>
      </w:r>
      <w:r>
        <w:fldChar w:fldCharType="end"/>
      </w:r>
      <w:r>
        <w:rPr>
          <w:rFonts w:ascii="华文中宋" w:hAnsi="华文中宋" w:eastAsia="华文中宋" w:cs="Arial"/>
          <w:szCs w:val="32"/>
        </w:rPr>
        <w:fldChar w:fldCharType="end"/>
      </w:r>
    </w:p>
    <w:p>
      <w:pPr>
        <w:pStyle w:val="8"/>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_Toc4406 </w:instrText>
      </w:r>
      <w:r>
        <w:rPr>
          <w:rFonts w:ascii="华文中宋" w:hAnsi="华文中宋" w:eastAsia="华文中宋" w:cs="Arial"/>
          <w:szCs w:val="32"/>
        </w:rPr>
        <w:fldChar w:fldCharType="separate"/>
      </w:r>
      <w:r>
        <w:rPr>
          <w:rFonts w:hint="eastAsia"/>
        </w:rPr>
        <w:t>二、开展国有企业改革的必要性</w:t>
      </w:r>
      <w:r>
        <w:tab/>
      </w:r>
      <w:r>
        <w:fldChar w:fldCharType="begin"/>
      </w:r>
      <w:r>
        <w:instrText xml:space="preserve"> PAGEREF _Toc4406 </w:instrText>
      </w:r>
      <w:r>
        <w:fldChar w:fldCharType="separate"/>
      </w:r>
      <w:r>
        <w:t>3</w:t>
      </w:r>
      <w:r>
        <w:fldChar w:fldCharType="end"/>
      </w:r>
      <w:r>
        <w:rPr>
          <w:rFonts w:ascii="华文中宋" w:hAnsi="华文中宋" w:eastAsia="华文中宋" w:cs="Arial"/>
          <w:szCs w:val="32"/>
        </w:rPr>
        <w:fldChar w:fldCharType="end"/>
      </w:r>
    </w:p>
    <w:p>
      <w:pPr>
        <w:pStyle w:val="8"/>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_Toc21555 </w:instrText>
      </w:r>
      <w:r>
        <w:rPr>
          <w:rFonts w:ascii="华文中宋" w:hAnsi="华文中宋" w:eastAsia="华文中宋" w:cs="Arial"/>
          <w:szCs w:val="32"/>
        </w:rPr>
        <w:fldChar w:fldCharType="separate"/>
      </w:r>
      <w:r>
        <w:rPr>
          <w:rFonts w:hint="eastAsia"/>
        </w:rPr>
        <w:t>（一）从政策法规层面，积极推动国有企业改革</w:t>
      </w:r>
      <w:r>
        <w:tab/>
      </w:r>
      <w:r>
        <w:fldChar w:fldCharType="begin"/>
      </w:r>
      <w:r>
        <w:instrText xml:space="preserve"> PAGEREF _Toc21555 </w:instrText>
      </w:r>
      <w:r>
        <w:fldChar w:fldCharType="separate"/>
      </w:r>
      <w:r>
        <w:t>3</w:t>
      </w:r>
      <w:r>
        <w:fldChar w:fldCharType="end"/>
      </w:r>
      <w:r>
        <w:rPr>
          <w:rFonts w:ascii="华文中宋" w:hAnsi="华文中宋" w:eastAsia="华文中宋" w:cs="Arial"/>
          <w:szCs w:val="32"/>
        </w:rPr>
        <w:fldChar w:fldCharType="end"/>
      </w:r>
    </w:p>
    <w:p>
      <w:pPr>
        <w:pStyle w:val="9"/>
        <w:tabs>
          <w:tab w:val="right" w:leader="dot" w:pos="7824"/>
        </w:tabs>
        <w:ind w:left="0" w:leftChars="0" w:firstLine="0" w:firstLineChars="0"/>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_Toc14484 </w:instrText>
      </w:r>
      <w:r>
        <w:rPr>
          <w:rFonts w:ascii="华文中宋" w:hAnsi="华文中宋" w:eastAsia="华文中宋" w:cs="Arial"/>
          <w:szCs w:val="32"/>
        </w:rPr>
        <w:fldChar w:fldCharType="separate"/>
      </w:r>
      <w:r>
        <w:rPr>
          <w:rFonts w:hint="eastAsia"/>
          <w:bCs/>
          <w:kern w:val="44"/>
          <w:lang w:val="en-US" w:eastAsia="zh-CN" w:bidi="ar-SA"/>
        </w:rPr>
        <w:t>（二）从长期发展来看，国有企业改革将持续推动</w:t>
      </w:r>
      <w:r>
        <w:tab/>
      </w:r>
      <w:r>
        <w:fldChar w:fldCharType="begin"/>
      </w:r>
      <w:r>
        <w:instrText xml:space="preserve"> PAGEREF _Toc14484 </w:instrText>
      </w:r>
      <w:r>
        <w:fldChar w:fldCharType="separate"/>
      </w:r>
      <w:r>
        <w:t>3</w:t>
      </w:r>
      <w:r>
        <w:fldChar w:fldCharType="end"/>
      </w:r>
      <w:r>
        <w:rPr>
          <w:rFonts w:ascii="华文中宋" w:hAnsi="华文中宋" w:eastAsia="华文中宋" w:cs="Arial"/>
          <w:szCs w:val="32"/>
        </w:rPr>
        <w:fldChar w:fldCharType="end"/>
      </w:r>
    </w:p>
    <w:p>
      <w:pPr>
        <w:pStyle w:val="8"/>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_Toc14101 </w:instrText>
      </w:r>
      <w:r>
        <w:rPr>
          <w:rFonts w:ascii="华文中宋" w:hAnsi="华文中宋" w:eastAsia="华文中宋" w:cs="Arial"/>
          <w:szCs w:val="32"/>
        </w:rPr>
        <w:fldChar w:fldCharType="separate"/>
      </w:r>
      <w:r>
        <w:rPr>
          <w:rFonts w:hint="eastAsia"/>
        </w:rPr>
        <w:t>三、国有企业改革的板块及工作内容</w:t>
      </w:r>
      <w:r>
        <w:tab/>
      </w:r>
      <w:r>
        <w:fldChar w:fldCharType="begin"/>
      </w:r>
      <w:r>
        <w:instrText xml:space="preserve"> PAGEREF _Toc14101 </w:instrText>
      </w:r>
      <w:r>
        <w:fldChar w:fldCharType="separate"/>
      </w:r>
      <w:r>
        <w:t>5</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_Toc23957 </w:instrText>
      </w:r>
      <w:r>
        <w:rPr>
          <w:rFonts w:ascii="华文中宋" w:hAnsi="华文中宋" w:eastAsia="华文中宋" w:cs="Arial"/>
          <w:szCs w:val="32"/>
        </w:rPr>
        <w:fldChar w:fldCharType="separate"/>
      </w:r>
      <w:r>
        <w:t xml:space="preserve">1、 </w:t>
      </w:r>
      <w:r>
        <w:rPr>
          <w:rFonts w:hint="eastAsia"/>
        </w:rPr>
        <w:t>混合所有制改革</w:t>
      </w:r>
      <w:r>
        <w:tab/>
      </w:r>
      <w:r>
        <w:fldChar w:fldCharType="begin"/>
      </w:r>
      <w:r>
        <w:instrText xml:space="preserve"> PAGEREF _Toc23957 </w:instrText>
      </w:r>
      <w:r>
        <w:fldChar w:fldCharType="separate"/>
      </w:r>
      <w:r>
        <w:t>5</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_Toc21820 </w:instrText>
      </w:r>
      <w:r>
        <w:rPr>
          <w:rFonts w:ascii="华文中宋" w:hAnsi="华文中宋" w:eastAsia="华文中宋" w:cs="Arial"/>
          <w:szCs w:val="32"/>
        </w:rPr>
        <w:fldChar w:fldCharType="separate"/>
      </w:r>
      <w:r>
        <w:rPr>
          <w:rFonts w:hint="eastAsia"/>
        </w:rPr>
        <w:t>2、国有资本投资、运营公司</w:t>
      </w:r>
      <w:r>
        <w:tab/>
      </w:r>
      <w:r>
        <w:fldChar w:fldCharType="begin"/>
      </w:r>
      <w:r>
        <w:instrText xml:space="preserve"> PAGEREF _Toc21820 </w:instrText>
      </w:r>
      <w:r>
        <w:fldChar w:fldCharType="separate"/>
      </w:r>
      <w:r>
        <w:t>5</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_Toc31039 </w:instrText>
      </w:r>
      <w:r>
        <w:rPr>
          <w:rFonts w:ascii="华文中宋" w:hAnsi="华文中宋" w:eastAsia="华文中宋" w:cs="Arial"/>
          <w:szCs w:val="32"/>
        </w:rPr>
        <w:fldChar w:fldCharType="separate"/>
      </w:r>
      <w:r>
        <w:rPr>
          <w:rFonts w:hint="eastAsia"/>
        </w:rPr>
        <w:t>3、国有企业的战略发展规划</w:t>
      </w:r>
      <w:r>
        <w:tab/>
      </w:r>
      <w:r>
        <w:fldChar w:fldCharType="begin"/>
      </w:r>
      <w:r>
        <w:instrText xml:space="preserve"> PAGEREF _Toc31039 </w:instrText>
      </w:r>
      <w:r>
        <w:fldChar w:fldCharType="separate"/>
      </w:r>
      <w:r>
        <w:t>6</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_Toc18177 </w:instrText>
      </w:r>
      <w:r>
        <w:rPr>
          <w:rFonts w:ascii="华文中宋" w:hAnsi="华文中宋" w:eastAsia="华文中宋" w:cs="Arial"/>
          <w:szCs w:val="32"/>
        </w:rPr>
        <w:fldChar w:fldCharType="separate"/>
      </w:r>
      <w:r>
        <w:rPr>
          <w:rFonts w:hint="eastAsia"/>
        </w:rPr>
        <w:t>4、顶层架构设计及组织运营体系</w:t>
      </w:r>
      <w:r>
        <w:tab/>
      </w:r>
      <w:r>
        <w:fldChar w:fldCharType="begin"/>
      </w:r>
      <w:r>
        <w:instrText xml:space="preserve"> PAGEREF _Toc18177 </w:instrText>
      </w:r>
      <w:r>
        <w:fldChar w:fldCharType="separate"/>
      </w:r>
      <w:r>
        <w:t>6</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_Toc24650 </w:instrText>
      </w:r>
      <w:r>
        <w:rPr>
          <w:rFonts w:ascii="华文中宋" w:hAnsi="华文中宋" w:eastAsia="华文中宋" w:cs="Arial"/>
          <w:szCs w:val="32"/>
        </w:rPr>
        <w:fldChar w:fldCharType="separate"/>
      </w:r>
      <w:r>
        <w:rPr>
          <w:rFonts w:hint="eastAsia"/>
        </w:rPr>
        <w:t>5、人力资源管理</w:t>
      </w:r>
      <w:r>
        <w:tab/>
      </w:r>
      <w:r>
        <w:fldChar w:fldCharType="begin"/>
      </w:r>
      <w:r>
        <w:instrText xml:space="preserve"> PAGEREF _Toc24650 </w:instrText>
      </w:r>
      <w:r>
        <w:fldChar w:fldCharType="separate"/>
      </w:r>
      <w:r>
        <w:t>7</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_Toc15604 </w:instrText>
      </w:r>
      <w:r>
        <w:rPr>
          <w:rFonts w:ascii="华文中宋" w:hAnsi="华文中宋" w:eastAsia="华文中宋" w:cs="Arial"/>
          <w:szCs w:val="32"/>
        </w:rPr>
        <w:fldChar w:fldCharType="separate"/>
      </w:r>
      <w:r>
        <w:rPr>
          <w:rFonts w:hint="eastAsia"/>
        </w:rPr>
        <w:t>6、职业经理人</w:t>
      </w:r>
      <w:r>
        <w:tab/>
      </w:r>
      <w:r>
        <w:fldChar w:fldCharType="begin"/>
      </w:r>
      <w:r>
        <w:instrText xml:space="preserve"> PAGEREF _Toc15604 </w:instrText>
      </w:r>
      <w:r>
        <w:fldChar w:fldCharType="separate"/>
      </w:r>
      <w:r>
        <w:t>7</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_Toc23765 </w:instrText>
      </w:r>
      <w:r>
        <w:rPr>
          <w:rFonts w:ascii="华文中宋" w:hAnsi="华文中宋" w:eastAsia="华文中宋" w:cs="Arial"/>
          <w:szCs w:val="32"/>
        </w:rPr>
        <w:fldChar w:fldCharType="separate"/>
      </w:r>
      <w:r>
        <w:rPr>
          <w:rFonts w:hint="eastAsia"/>
        </w:rPr>
        <w:t>7、中长期激励机制</w:t>
      </w:r>
      <w:r>
        <w:tab/>
      </w:r>
      <w:r>
        <w:fldChar w:fldCharType="begin"/>
      </w:r>
      <w:r>
        <w:instrText xml:space="preserve"> PAGEREF _Toc23765 </w:instrText>
      </w:r>
      <w:r>
        <w:fldChar w:fldCharType="separate"/>
      </w:r>
      <w:r>
        <w:t>7</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_Toc3394 </w:instrText>
      </w:r>
      <w:r>
        <w:rPr>
          <w:rFonts w:ascii="华文中宋" w:hAnsi="华文中宋" w:eastAsia="华文中宋" w:cs="Arial"/>
          <w:szCs w:val="32"/>
        </w:rPr>
        <w:fldChar w:fldCharType="separate"/>
      </w:r>
      <w:r>
        <w:rPr>
          <w:rFonts w:hint="eastAsia"/>
        </w:rPr>
        <w:t>8、投融资规划及模式设计</w:t>
      </w:r>
      <w:r>
        <w:tab/>
      </w:r>
      <w:r>
        <w:fldChar w:fldCharType="begin"/>
      </w:r>
      <w:r>
        <w:instrText xml:space="preserve"> PAGEREF _Toc3394 </w:instrText>
      </w:r>
      <w:r>
        <w:fldChar w:fldCharType="separate"/>
      </w:r>
      <w:r>
        <w:t>8</w:t>
      </w:r>
      <w:r>
        <w:fldChar w:fldCharType="end"/>
      </w:r>
      <w:r>
        <w:rPr>
          <w:rFonts w:ascii="华文中宋" w:hAnsi="华文中宋" w:eastAsia="华文中宋" w:cs="Arial"/>
          <w:szCs w:val="32"/>
        </w:rPr>
        <w:fldChar w:fldCharType="end"/>
      </w:r>
    </w:p>
    <w:p>
      <w:pPr>
        <w:pStyle w:val="8"/>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_Toc30401 </w:instrText>
      </w:r>
      <w:r>
        <w:rPr>
          <w:rFonts w:ascii="华文中宋" w:hAnsi="华文中宋" w:eastAsia="华文中宋" w:cs="Arial"/>
          <w:szCs w:val="32"/>
        </w:rPr>
        <w:fldChar w:fldCharType="separate"/>
      </w:r>
      <w:r>
        <w:rPr>
          <w:rFonts w:hint="eastAsia"/>
        </w:rPr>
        <w:t>四、工作报价</w:t>
      </w:r>
      <w:r>
        <w:tab/>
      </w:r>
      <w:r>
        <w:fldChar w:fldCharType="begin"/>
      </w:r>
      <w:r>
        <w:instrText xml:space="preserve"> PAGEREF _Toc30401 </w:instrText>
      </w:r>
      <w:r>
        <w:fldChar w:fldCharType="separate"/>
      </w:r>
      <w:r>
        <w:t>9</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_Toc2338 </w:instrText>
      </w:r>
      <w:r>
        <w:rPr>
          <w:rFonts w:ascii="华文中宋" w:hAnsi="华文中宋" w:eastAsia="华文中宋" w:cs="Arial"/>
          <w:szCs w:val="32"/>
        </w:rPr>
        <w:fldChar w:fldCharType="separate"/>
      </w:r>
      <w:r>
        <w:rPr>
          <w:rFonts w:hint="eastAsia"/>
        </w:rPr>
        <w:t>（一）业务模块报价</w:t>
      </w:r>
      <w:r>
        <w:tab/>
      </w:r>
      <w:r>
        <w:fldChar w:fldCharType="begin"/>
      </w:r>
      <w:r>
        <w:instrText xml:space="preserve"> PAGEREF _Toc2338 </w:instrText>
      </w:r>
      <w:r>
        <w:fldChar w:fldCharType="separate"/>
      </w:r>
      <w:r>
        <w:t>9</w:t>
      </w:r>
      <w:r>
        <w:fldChar w:fldCharType="end"/>
      </w:r>
      <w:r>
        <w:rPr>
          <w:rFonts w:ascii="华文中宋" w:hAnsi="华文中宋" w:eastAsia="华文中宋" w:cs="Arial"/>
          <w:szCs w:val="32"/>
        </w:rPr>
        <w:fldChar w:fldCharType="end"/>
      </w:r>
    </w:p>
    <w:p>
      <w:pPr>
        <w:pStyle w:val="9"/>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_Toc26582 </w:instrText>
      </w:r>
      <w:r>
        <w:rPr>
          <w:rFonts w:ascii="华文中宋" w:hAnsi="华文中宋" w:eastAsia="华文中宋" w:cs="Arial"/>
          <w:szCs w:val="32"/>
        </w:rPr>
        <w:fldChar w:fldCharType="separate"/>
      </w:r>
      <w:r>
        <w:rPr>
          <w:rFonts w:hint="eastAsia"/>
        </w:rPr>
        <w:t>（二）服务价格</w:t>
      </w:r>
      <w:r>
        <w:tab/>
      </w:r>
      <w:r>
        <w:fldChar w:fldCharType="begin"/>
      </w:r>
      <w:r>
        <w:instrText xml:space="preserve"> PAGEREF _Toc26582 </w:instrText>
      </w:r>
      <w:r>
        <w:fldChar w:fldCharType="separate"/>
      </w:r>
      <w:r>
        <w:t>11</w:t>
      </w:r>
      <w:r>
        <w:fldChar w:fldCharType="end"/>
      </w:r>
      <w:r>
        <w:rPr>
          <w:rFonts w:ascii="华文中宋" w:hAnsi="华文中宋" w:eastAsia="华文中宋" w:cs="Arial"/>
          <w:szCs w:val="32"/>
        </w:rPr>
        <w:fldChar w:fldCharType="end"/>
      </w:r>
    </w:p>
    <w:p>
      <w:pPr>
        <w:pStyle w:val="8"/>
        <w:tabs>
          <w:tab w:val="right" w:leader="dot" w:pos="7824"/>
        </w:tabs>
      </w:pPr>
      <w:r>
        <w:rPr>
          <w:rFonts w:ascii="华文中宋" w:hAnsi="华文中宋" w:eastAsia="华文中宋" w:cs="Arial"/>
          <w:szCs w:val="32"/>
        </w:rPr>
        <w:fldChar w:fldCharType="begin"/>
      </w:r>
      <w:r>
        <w:rPr>
          <w:rFonts w:ascii="华文中宋" w:hAnsi="华文中宋" w:eastAsia="华文中宋" w:cs="Arial"/>
          <w:szCs w:val="32"/>
        </w:rPr>
        <w:instrText xml:space="preserve"> HYPERLINK \l _Toc17126 </w:instrText>
      </w:r>
      <w:r>
        <w:rPr>
          <w:rFonts w:ascii="华文中宋" w:hAnsi="华文中宋" w:eastAsia="华文中宋" w:cs="Arial"/>
          <w:szCs w:val="32"/>
        </w:rPr>
        <w:fldChar w:fldCharType="separate"/>
      </w:r>
      <w:r>
        <w:rPr>
          <w:rFonts w:hint="eastAsia"/>
          <w:lang w:val="en-US" w:eastAsia="zh-CN"/>
        </w:rPr>
        <w:t>五、</w:t>
      </w:r>
      <w:r>
        <w:rPr>
          <w:rFonts w:hint="eastAsia"/>
        </w:rPr>
        <w:t>服务专家及主要业绩</w:t>
      </w:r>
      <w:r>
        <w:tab/>
      </w:r>
      <w:r>
        <w:fldChar w:fldCharType="begin"/>
      </w:r>
      <w:r>
        <w:instrText xml:space="preserve"> PAGEREF _Toc17126 </w:instrText>
      </w:r>
      <w:r>
        <w:fldChar w:fldCharType="separate"/>
      </w:r>
      <w:r>
        <w:t>13</w:t>
      </w:r>
      <w:r>
        <w:fldChar w:fldCharType="end"/>
      </w:r>
      <w:r>
        <w:rPr>
          <w:rFonts w:ascii="华文中宋" w:hAnsi="华文中宋" w:eastAsia="华文中宋" w:cs="Arial"/>
          <w:szCs w:val="32"/>
        </w:rPr>
        <w:fldChar w:fldCharType="end"/>
      </w:r>
    </w:p>
    <w:p>
      <w:pPr>
        <w:spacing w:line="360" w:lineRule="auto"/>
        <w:jc w:val="center"/>
        <w:rPr>
          <w:rFonts w:ascii="华文中宋" w:hAnsi="华文中宋" w:eastAsia="华文中宋" w:cs="Arial"/>
          <w:b/>
          <w:sz w:val="32"/>
          <w:szCs w:val="32"/>
        </w:rPr>
      </w:pPr>
      <w:r>
        <w:rPr>
          <w:rFonts w:ascii="华文中宋" w:hAnsi="华文中宋" w:eastAsia="华文中宋" w:cs="Arial"/>
          <w:szCs w:val="32"/>
        </w:rPr>
        <w:fldChar w:fldCharType="end"/>
      </w:r>
    </w:p>
    <w:p>
      <w:pPr>
        <w:spacing w:line="360" w:lineRule="auto"/>
        <w:jc w:val="center"/>
        <w:rPr>
          <w:rFonts w:ascii="华文中宋" w:hAnsi="华文中宋" w:eastAsia="华文中宋" w:cs="Arial"/>
          <w:b/>
          <w:sz w:val="32"/>
          <w:szCs w:val="32"/>
        </w:rPr>
      </w:pPr>
    </w:p>
    <w:p>
      <w:pPr>
        <w:spacing w:line="360" w:lineRule="auto"/>
        <w:jc w:val="center"/>
        <w:rPr>
          <w:rFonts w:hint="eastAsia" w:ascii="华文中宋" w:hAnsi="华文中宋" w:eastAsia="华文中宋" w:cs="Arial"/>
          <w:b/>
          <w:sz w:val="32"/>
          <w:szCs w:val="32"/>
          <w:lang w:val="en-US" w:eastAsia="zh-CN"/>
        </w:rPr>
      </w:pPr>
    </w:p>
    <w:p>
      <w:pPr>
        <w:spacing w:line="360" w:lineRule="auto"/>
        <w:jc w:val="center"/>
        <w:rPr>
          <w:rFonts w:ascii="华文中宋" w:hAnsi="华文中宋" w:eastAsia="华文中宋" w:cs="Arial"/>
          <w:b/>
          <w:sz w:val="32"/>
          <w:szCs w:val="32"/>
        </w:rPr>
        <w:sectPr>
          <w:headerReference r:id="rId3" w:type="default"/>
          <w:pgSz w:w="11906" w:h="16838"/>
          <w:pgMar w:top="2268" w:right="2041" w:bottom="2268" w:left="2041" w:header="851" w:footer="992" w:gutter="0"/>
          <w:cols w:space="0" w:num="1"/>
          <w:docGrid w:type="lines" w:linePitch="410" w:charSpace="0"/>
        </w:sectPr>
      </w:pPr>
    </w:p>
    <w:p>
      <w:pPr>
        <w:pStyle w:val="2"/>
        <w:bidi w:val="0"/>
      </w:pPr>
      <w:bookmarkStart w:id="0" w:name="_Toc12509"/>
      <w:r>
        <w:rPr>
          <w:rFonts w:hint="eastAsia"/>
        </w:rPr>
        <w:t>一、公司基本介绍</w:t>
      </w:r>
      <w:bookmarkEnd w:id="0"/>
    </w:p>
    <w:p>
      <w:pPr>
        <w:spacing w:line="360" w:lineRule="auto"/>
        <w:ind w:firstLine="560" w:firstLineChars="200"/>
        <w:rPr>
          <w:rFonts w:ascii="仿宋" w:hAnsi="仿宋" w:cs="Arial"/>
          <w:sz w:val="28"/>
          <w:szCs w:val="28"/>
        </w:rPr>
      </w:pPr>
      <w:r>
        <w:rPr>
          <w:rFonts w:hint="eastAsia" w:ascii="仿宋" w:hAnsi="仿宋" w:cs="Arial"/>
          <w:sz w:val="28"/>
          <w:szCs w:val="28"/>
        </w:rPr>
        <w:t>中至远（北京）管理咨询有限公司（以下简称“中至远</w:t>
      </w:r>
      <w:bookmarkStart w:id="17" w:name="_GoBack"/>
      <w:bookmarkEnd w:id="17"/>
      <w:r>
        <w:rPr>
          <w:rFonts w:hint="eastAsia" w:ascii="仿宋" w:hAnsi="仿宋" w:cs="Arial"/>
          <w:sz w:val="28"/>
          <w:szCs w:val="28"/>
        </w:rPr>
        <w:t>”）是一家以政府投融资平台转型、国有企业改革、新规则下</w:t>
      </w:r>
      <w:r>
        <w:rPr>
          <w:rFonts w:ascii="仿宋" w:hAnsi="仿宋" w:cs="Arial"/>
          <w:sz w:val="28"/>
          <w:szCs w:val="28"/>
        </w:rPr>
        <w:t>PPP业务、政府产业基金业务为主要发展方向的专业化公司。</w:t>
      </w:r>
    </w:p>
    <w:p>
      <w:pPr>
        <w:spacing w:line="360" w:lineRule="auto"/>
        <w:ind w:firstLine="560" w:firstLineChars="200"/>
        <w:rPr>
          <w:rFonts w:ascii="仿宋" w:hAnsi="仿宋" w:cs="仿宋"/>
          <w:sz w:val="28"/>
          <w:szCs w:val="28"/>
        </w:rPr>
      </w:pPr>
      <w:r>
        <w:rPr>
          <w:rFonts w:hint="eastAsia" w:ascii="仿宋" w:hAnsi="仿宋" w:cs="仿宋"/>
          <w:sz w:val="28"/>
          <w:szCs w:val="28"/>
        </w:rPr>
        <w:t>公司的发起人是由国家级研究机构的骨干专家和具有丰富国有企业改制、混合所有制改革、国有资本投资运营公司、债转股、金融与基金业务、薪酬考核与激励、员工持股与股权激励经验的实操团队组成，同时拥有多名国家级专家、学者作为公司的专家顾问，为公司的未来发展和业务实务提供专业性指导。</w:t>
      </w:r>
    </w:p>
    <w:p>
      <w:pPr>
        <w:spacing w:line="360" w:lineRule="auto"/>
        <w:ind w:firstLine="560" w:firstLineChars="200"/>
        <w:rPr>
          <w:rFonts w:ascii="仿宋" w:hAnsi="仿宋" w:cs="仿宋"/>
          <w:sz w:val="28"/>
          <w:szCs w:val="28"/>
        </w:rPr>
      </w:pPr>
      <w:r>
        <w:rPr>
          <w:rFonts w:hint="eastAsia" w:ascii="仿宋" w:hAnsi="仿宋" w:cs="仿宋"/>
          <w:sz w:val="28"/>
          <w:szCs w:val="28"/>
        </w:rPr>
        <w:t>公司一直作为国家发改委培训中心、财政部中国财政科学研究院培训中心、中国经济体制改革研究会培训中心等多家国家官方机构认可并授权的专业化机构，长期为中央直属和地方所属国有企业开展国有企业改制、混合所有制改革、工资与薪酬、员工持股与股权激励等专业授课，为国有企业改革提供智力保证和经验传授。累计培训学员数万人，涵盖我国所有的省、市、自治区。公司已经成为我国在企业培训和智库领域首屈一指的专业化机构，受到了普遍认可和好评。</w:t>
      </w:r>
    </w:p>
    <w:p>
      <w:pPr>
        <w:spacing w:line="360" w:lineRule="auto"/>
        <w:ind w:firstLine="560" w:firstLineChars="200"/>
        <w:rPr>
          <w:rFonts w:ascii="仿宋" w:hAnsi="仿宋" w:cs="仿宋"/>
          <w:sz w:val="28"/>
          <w:szCs w:val="28"/>
        </w:rPr>
      </w:pPr>
      <w:r>
        <w:rPr>
          <w:rFonts w:hint="eastAsia" w:ascii="仿宋" w:hAnsi="仿宋" w:cs="仿宋"/>
          <w:sz w:val="28"/>
          <w:szCs w:val="28"/>
        </w:rPr>
        <w:t>公司除开展专业化培训外，一直强调深入一线开展具体业务，从而形成业务理论与实践的真正有机结合。公司在业务开展过程中，实行“高起点、精专业、强落地”的原则，充分发挥专业化团队的多年业务实操经验、理论知识、资源优势，极力促成所操作项目的有效落地。</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公司长期致力于政府融资平台公司转型、国有企业改革和PPP模式的咨询与实践，尤其是在隐性债务处置（债转股）、企业战略规划和投融资体系设计、国企改革及PPP咨询方面具备丰富的实战经验。目前主持完成了多家平台公司的市场化转型，国有企业的投资运营公司试点、混改、员工持股长效激励及并购重整等工作，先后为100多个PPP项目提供咨询或顾问服务。</w:t>
      </w:r>
    </w:p>
    <w:p>
      <w:pPr>
        <w:spacing w:line="360" w:lineRule="auto"/>
        <w:rPr>
          <w:rFonts w:ascii="仿宋" w:hAnsi="仿宋" w:cs="仿宋"/>
          <w:sz w:val="28"/>
          <w:szCs w:val="28"/>
        </w:rPr>
      </w:pPr>
    </w:p>
    <w:p>
      <w:pPr>
        <w:spacing w:line="360" w:lineRule="auto"/>
        <w:rPr>
          <w:rFonts w:ascii="仿宋" w:hAnsi="仿宋" w:cs="仿宋"/>
          <w:sz w:val="28"/>
          <w:szCs w:val="28"/>
        </w:rPr>
      </w:pPr>
    </w:p>
    <w:p>
      <w:pPr>
        <w:spacing w:line="360" w:lineRule="auto"/>
        <w:rPr>
          <w:rFonts w:ascii="仿宋" w:hAnsi="仿宋" w:cs="仿宋"/>
          <w:sz w:val="28"/>
          <w:szCs w:val="28"/>
        </w:rPr>
      </w:pPr>
    </w:p>
    <w:p>
      <w:pPr>
        <w:spacing w:line="360" w:lineRule="auto"/>
        <w:rPr>
          <w:rFonts w:ascii="仿宋" w:hAnsi="仿宋" w:cs="仿宋"/>
          <w:sz w:val="28"/>
          <w:szCs w:val="28"/>
        </w:rPr>
      </w:pPr>
    </w:p>
    <w:p>
      <w:pPr>
        <w:spacing w:line="360" w:lineRule="auto"/>
        <w:rPr>
          <w:rFonts w:ascii="仿宋" w:hAnsi="仿宋" w:cs="仿宋"/>
          <w:sz w:val="28"/>
          <w:szCs w:val="28"/>
        </w:rPr>
      </w:pPr>
    </w:p>
    <w:p>
      <w:pPr>
        <w:spacing w:line="360" w:lineRule="auto"/>
        <w:rPr>
          <w:rFonts w:ascii="仿宋" w:hAnsi="仿宋" w:cs="仿宋"/>
          <w:sz w:val="28"/>
          <w:szCs w:val="28"/>
        </w:rPr>
      </w:pPr>
    </w:p>
    <w:p>
      <w:pPr>
        <w:spacing w:line="360" w:lineRule="auto"/>
        <w:rPr>
          <w:rFonts w:ascii="仿宋" w:hAnsi="仿宋" w:cs="仿宋"/>
          <w:sz w:val="28"/>
          <w:szCs w:val="28"/>
        </w:rPr>
      </w:pPr>
    </w:p>
    <w:p>
      <w:pPr>
        <w:spacing w:line="360" w:lineRule="auto"/>
        <w:rPr>
          <w:rFonts w:ascii="仿宋" w:hAnsi="仿宋" w:cs="仿宋"/>
          <w:sz w:val="28"/>
          <w:szCs w:val="28"/>
        </w:rPr>
      </w:pPr>
    </w:p>
    <w:p>
      <w:pPr>
        <w:rPr>
          <w:rFonts w:asciiTheme="majorEastAsia" w:hAnsiTheme="majorEastAsia" w:eastAsiaTheme="majorEastAsia" w:cstheme="majorEastAsia"/>
          <w:b/>
          <w:bCs/>
          <w:sz w:val="36"/>
          <w:szCs w:val="36"/>
        </w:rPr>
      </w:pPr>
    </w:p>
    <w:p>
      <w:pPr>
        <w:pStyle w:val="2"/>
        <w:bidi w:val="0"/>
      </w:pPr>
      <w:bookmarkStart w:id="1" w:name="_Toc4406"/>
      <w:r>
        <w:rPr>
          <w:rFonts w:hint="eastAsia"/>
        </w:rPr>
        <w:t>二、开展国有企业改革的必要性</w:t>
      </w:r>
      <w:bookmarkEnd w:id="1"/>
    </w:p>
    <w:p>
      <w:pPr>
        <w:pStyle w:val="2"/>
        <w:bidi w:val="0"/>
        <w:jc w:val="both"/>
        <w:rPr>
          <w:rFonts w:ascii="仿宋" w:hAnsi="仿宋" w:cstheme="majorEastAsia"/>
          <w:b/>
          <w:bCs/>
          <w:sz w:val="28"/>
          <w:szCs w:val="28"/>
        </w:rPr>
      </w:pPr>
      <w:bookmarkStart w:id="2" w:name="_Toc21555"/>
      <w:r>
        <w:rPr>
          <w:rStyle w:val="20"/>
          <w:rFonts w:hint="eastAsia"/>
          <w:b/>
        </w:rPr>
        <w:t>（一）从政策法规层面，积极推动国有企业改革</w:t>
      </w:r>
      <w:bookmarkEnd w:id="2"/>
      <w:r>
        <w:rPr>
          <w:rStyle w:val="20"/>
          <w:rFonts w:hint="eastAsia"/>
          <w:b/>
        </w:rPr>
        <w:t xml:space="preserve"> </w:t>
      </w:r>
      <w:r>
        <w:rPr>
          <w:rFonts w:hint="eastAsia" w:ascii="仿宋" w:hAnsi="仿宋" w:cstheme="majorEastAsia"/>
          <w:b/>
          <w:bCs/>
          <w:sz w:val="28"/>
          <w:szCs w:val="28"/>
        </w:rPr>
        <w:t xml:space="preserve">   </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十八届三中全会提出市场化为主导的国有企业改革模式。成立国务院深化国有企业改革小组，从顶层设计提出了1+N配套系列文件，其中指导纲领性文件《关于深化国有企业改革的指导意见》（中发【2015】22号）中指出：“推进国有企业混合所有制改革。”“通过出资入股、收购股权、认购可转债、股权置换等多种方式引入非国有资本参与国有企业改革。实行同股同权，切实维护各类股东合法权益。”“鼓励国有资本以多种方式入股非国有企业。”“探索实行混合所有制企业员工持股。”之后出台了一系列政策法规，推动国有企业改革。</w:t>
      </w:r>
    </w:p>
    <w:p>
      <w:pPr>
        <w:pStyle w:val="3"/>
        <w:bidi w:val="0"/>
        <w:rPr>
          <w:rStyle w:val="20"/>
          <w:rFonts w:hint="eastAsia"/>
          <w:b/>
          <w:bCs/>
          <w:kern w:val="44"/>
          <w:lang w:val="en-US" w:eastAsia="zh-CN" w:bidi="ar-SA"/>
        </w:rPr>
      </w:pPr>
      <w:bookmarkStart w:id="3" w:name="_Toc14484"/>
      <w:r>
        <w:rPr>
          <w:rStyle w:val="20"/>
          <w:rFonts w:hint="eastAsia"/>
          <w:b/>
          <w:bCs/>
          <w:kern w:val="44"/>
          <w:lang w:val="en-US" w:eastAsia="zh-CN" w:bidi="ar-SA"/>
        </w:rPr>
        <w:t>（二）从长期发展来看，国有企业改革将持续推动</w:t>
      </w:r>
      <w:bookmarkEnd w:id="3"/>
    </w:p>
    <w:p>
      <w:pPr>
        <w:spacing w:line="360" w:lineRule="auto"/>
        <w:ind w:firstLine="562" w:firstLineChars="200"/>
        <w:rPr>
          <w:rFonts w:ascii="仿宋" w:hAnsi="仿宋" w:cs="仿宋"/>
          <w:sz w:val="28"/>
          <w:szCs w:val="28"/>
        </w:rPr>
      </w:pPr>
      <w:r>
        <w:rPr>
          <w:rFonts w:hint="eastAsia" w:ascii="仿宋" w:hAnsi="仿宋" w:cs="仿宋"/>
          <w:b/>
          <w:bCs/>
          <w:sz w:val="28"/>
          <w:szCs w:val="28"/>
        </w:rPr>
        <w:t>深入推进公司制改革，健全法人治理结构。</w:t>
      </w:r>
      <w:r>
        <w:rPr>
          <w:rFonts w:hint="eastAsia" w:ascii="仿宋" w:hAnsi="仿宋" w:cs="仿宋"/>
          <w:sz w:val="28"/>
          <w:szCs w:val="28"/>
        </w:rPr>
        <w:t>国有企业下大力气推进尚未完成改制的各级子企业加快改制步伐。规范国有企业董事会建设，探索推行职业经理人制度，完善工资总额经营预算机制，推进中长期激励机制。</w:t>
      </w:r>
    </w:p>
    <w:p>
      <w:pPr>
        <w:spacing w:line="360" w:lineRule="auto"/>
        <w:ind w:firstLine="562" w:firstLineChars="200"/>
        <w:rPr>
          <w:rFonts w:ascii="仿宋" w:hAnsi="仿宋" w:cs="仿宋"/>
          <w:sz w:val="28"/>
          <w:szCs w:val="28"/>
        </w:rPr>
      </w:pPr>
      <w:r>
        <w:rPr>
          <w:rFonts w:hint="eastAsia" w:ascii="仿宋" w:hAnsi="仿宋" w:cs="仿宋"/>
          <w:b/>
          <w:bCs/>
          <w:sz w:val="28"/>
          <w:szCs w:val="28"/>
        </w:rPr>
        <w:t>混合所有制改革持续深化。</w:t>
      </w:r>
      <w:r>
        <w:rPr>
          <w:rFonts w:hint="eastAsia" w:ascii="仿宋" w:hAnsi="仿宋" w:cs="仿宋"/>
          <w:sz w:val="28"/>
          <w:szCs w:val="28"/>
        </w:rPr>
        <w:t>2015年国务院提出在电力、石油、天然气、铁路、民航、电信、军工等领域开展混改试点示范。发展改革委和国资委共同承担此项工作，目前已经选择确定了50个试点项目，涵盖了中央企业和部分地方国有企业。2016年第一批试点9家，2017年第二批试点10家，第三批试点31家。中国联通、东航物流、中金珠宝、中粮资本等作为试点率先落地的项目，受到广泛关注。混合所有制改革作为国有企业改革突破口积极推动。</w:t>
      </w:r>
    </w:p>
    <w:p>
      <w:pPr>
        <w:spacing w:line="360" w:lineRule="auto"/>
        <w:rPr>
          <w:rFonts w:ascii="仿宋" w:hAnsi="仿宋" w:cs="仿宋"/>
          <w:sz w:val="28"/>
          <w:szCs w:val="28"/>
        </w:rPr>
      </w:pPr>
      <w:r>
        <w:rPr>
          <w:rFonts w:hint="eastAsia" w:ascii="仿宋" w:hAnsi="仿宋" w:cstheme="majorEastAsia"/>
          <w:b/>
          <w:bCs/>
          <w:sz w:val="28"/>
          <w:szCs w:val="28"/>
        </w:rPr>
        <w:t xml:space="preserve">    </w:t>
      </w:r>
      <w:r>
        <w:rPr>
          <w:rFonts w:hint="eastAsia" w:ascii="仿宋" w:hAnsi="仿宋" w:cs="仿宋"/>
          <w:b/>
          <w:bCs/>
          <w:sz w:val="28"/>
          <w:szCs w:val="28"/>
        </w:rPr>
        <w:t>管资本为主监管方式转变。</w:t>
      </w:r>
      <w:r>
        <w:rPr>
          <w:rFonts w:hint="eastAsia" w:ascii="仿宋" w:hAnsi="仿宋" w:cs="仿宋"/>
          <w:sz w:val="28"/>
          <w:szCs w:val="28"/>
        </w:rPr>
        <w:t>政府对国有企业的监管方式由“管人、管事、管企业”向“管资本”方式转变，通过明确权责边界，实现政资分开、政企分开。国有企业治理机制及管控模式也相应调整。特别是当前改组组建国有资本投资、运营公司，开发区转向管委会+公司模式，以及地方融资平台转型，都适用于此模式。</w:t>
      </w: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pStyle w:val="2"/>
        <w:bidi w:val="0"/>
      </w:pPr>
      <w:bookmarkStart w:id="4" w:name="_Toc14101"/>
      <w:r>
        <w:rPr>
          <w:rFonts w:hint="eastAsia"/>
        </w:rPr>
        <w:t>三、国有企业改革的板块及工作内容</w:t>
      </w:r>
      <w:bookmarkEnd w:id="4"/>
    </w:p>
    <w:p>
      <w:pPr>
        <w:spacing w:line="360" w:lineRule="auto"/>
        <w:ind w:firstLine="560" w:firstLineChars="200"/>
        <w:rPr>
          <w:rFonts w:ascii="仿宋" w:hAnsi="仿宋" w:cs="仿宋"/>
          <w:sz w:val="28"/>
          <w:szCs w:val="28"/>
        </w:rPr>
      </w:pPr>
      <w:r>
        <w:rPr>
          <w:rFonts w:hint="eastAsia" w:ascii="仿宋" w:hAnsi="仿宋" w:cs="仿宋"/>
          <w:sz w:val="28"/>
          <w:szCs w:val="28"/>
        </w:rPr>
        <w:t>国有企业改革工作共分成四个主要板块：国有资本投资运营公司、混合所有制改革、三项制度改革、员工持股与中长期激励。各个板块相辅相成，可提供的服务方案分为以下几个部分：</w:t>
      </w:r>
    </w:p>
    <w:p>
      <w:pPr>
        <w:pStyle w:val="3"/>
        <w:numPr>
          <w:ilvl w:val="0"/>
          <w:numId w:val="1"/>
        </w:numPr>
        <w:bidi w:val="0"/>
      </w:pPr>
      <w:bookmarkStart w:id="5" w:name="_Toc23957"/>
      <w:r>
        <w:rPr>
          <w:rFonts w:hint="eastAsia"/>
        </w:rPr>
        <w:t>混合所有制改革</w:t>
      </w:r>
      <w:bookmarkEnd w:id="5"/>
    </w:p>
    <w:p>
      <w:pPr>
        <w:spacing w:line="360" w:lineRule="auto"/>
        <w:ind w:firstLine="560" w:firstLineChars="200"/>
        <w:rPr>
          <w:rFonts w:ascii="仿宋" w:hAnsi="仿宋" w:cs="仿宋"/>
          <w:sz w:val="28"/>
          <w:szCs w:val="28"/>
        </w:rPr>
      </w:pPr>
      <w:r>
        <w:rPr>
          <w:rFonts w:hint="eastAsia" w:ascii="仿宋" w:hAnsi="仿宋" w:cs="仿宋"/>
          <w:sz w:val="28"/>
          <w:szCs w:val="28"/>
        </w:rPr>
        <w:t>（1）混合所有制改革方案设计；</w:t>
      </w:r>
    </w:p>
    <w:p>
      <w:pPr>
        <w:spacing w:line="360" w:lineRule="auto"/>
        <w:ind w:firstLine="560" w:firstLineChars="200"/>
        <w:rPr>
          <w:rFonts w:ascii="仿宋" w:hAnsi="仿宋" w:cs="仿宋"/>
          <w:sz w:val="28"/>
          <w:szCs w:val="28"/>
        </w:rPr>
      </w:pPr>
      <w:r>
        <w:rPr>
          <w:rFonts w:hint="eastAsia" w:ascii="仿宋" w:hAnsi="仿宋" w:cs="仿宋"/>
          <w:sz w:val="28"/>
          <w:szCs w:val="28"/>
        </w:rPr>
        <w:t>（2）提供政策咨询（产业政策、行业政策和税收、金融等方面），为混合所有制改革企业理清政策思路，破解政策风险；</w:t>
      </w:r>
    </w:p>
    <w:p>
      <w:pPr>
        <w:spacing w:line="360" w:lineRule="auto"/>
        <w:ind w:firstLine="560" w:firstLineChars="200"/>
        <w:rPr>
          <w:rFonts w:ascii="仿宋" w:hAnsi="仿宋" w:cs="仿宋"/>
          <w:sz w:val="28"/>
          <w:szCs w:val="28"/>
        </w:rPr>
      </w:pPr>
      <w:r>
        <w:rPr>
          <w:rFonts w:hint="eastAsia" w:ascii="仿宋" w:hAnsi="仿宋" w:cs="仿宋"/>
          <w:sz w:val="28"/>
          <w:szCs w:val="28"/>
        </w:rPr>
        <w:t>（3）拟定混合所有制企业法人治理规范化设计方案；</w:t>
      </w:r>
    </w:p>
    <w:p>
      <w:pPr>
        <w:spacing w:line="360" w:lineRule="auto"/>
        <w:ind w:firstLine="560" w:firstLineChars="200"/>
        <w:rPr>
          <w:rFonts w:ascii="仿宋" w:hAnsi="仿宋" w:cs="仿宋"/>
          <w:sz w:val="28"/>
          <w:szCs w:val="28"/>
        </w:rPr>
      </w:pPr>
      <w:r>
        <w:rPr>
          <w:rFonts w:hint="eastAsia" w:ascii="仿宋" w:hAnsi="仿宋" w:cs="仿宋"/>
          <w:sz w:val="28"/>
          <w:szCs w:val="28"/>
        </w:rPr>
        <w:t>（4）拟定职工安置方案人员身份和薪酬福利策略。</w:t>
      </w:r>
    </w:p>
    <w:p>
      <w:pPr>
        <w:spacing w:line="360" w:lineRule="auto"/>
        <w:ind w:firstLine="560" w:firstLineChars="200"/>
        <w:rPr>
          <w:rFonts w:ascii="仿宋" w:hAnsi="仿宋" w:cs="仿宋"/>
          <w:sz w:val="28"/>
          <w:szCs w:val="28"/>
        </w:rPr>
      </w:pPr>
      <w:r>
        <w:rPr>
          <w:rFonts w:hint="eastAsia" w:ascii="仿宋" w:hAnsi="仿宋" w:cs="仿宋"/>
          <w:sz w:val="28"/>
          <w:szCs w:val="28"/>
        </w:rPr>
        <w:t>（5）联系选聘符合条件的中介开展审计评估工作</w:t>
      </w:r>
    </w:p>
    <w:p>
      <w:pPr>
        <w:spacing w:line="360" w:lineRule="auto"/>
        <w:ind w:firstLine="560" w:firstLineChars="200"/>
        <w:rPr>
          <w:rFonts w:ascii="仿宋" w:hAnsi="仿宋" w:cs="仿宋"/>
          <w:sz w:val="28"/>
          <w:szCs w:val="28"/>
        </w:rPr>
      </w:pPr>
      <w:r>
        <w:rPr>
          <w:rFonts w:hint="eastAsia" w:ascii="仿宋" w:hAnsi="仿宋" w:cs="仿宋"/>
          <w:sz w:val="28"/>
          <w:szCs w:val="28"/>
        </w:rPr>
        <w:t>（6）作为产权交易机构代理商，服务进场交易，完成产权交割。</w:t>
      </w:r>
    </w:p>
    <w:p>
      <w:pPr>
        <w:pStyle w:val="3"/>
        <w:bidi w:val="0"/>
      </w:pPr>
      <w:bookmarkStart w:id="6" w:name="_Toc21820"/>
      <w:r>
        <w:rPr>
          <w:rFonts w:hint="eastAsia"/>
        </w:rPr>
        <w:t>2、国有资本投资、运营公司</w:t>
      </w:r>
      <w:bookmarkEnd w:id="6"/>
    </w:p>
    <w:p>
      <w:pPr>
        <w:numPr>
          <w:ilvl w:val="0"/>
          <w:numId w:val="2"/>
        </w:numPr>
        <w:spacing w:line="360" w:lineRule="auto"/>
        <w:ind w:firstLine="560" w:firstLineChars="200"/>
        <w:jc w:val="left"/>
        <w:rPr>
          <w:rFonts w:ascii="仿宋" w:hAnsi="仿宋" w:cs="仿宋"/>
          <w:sz w:val="28"/>
          <w:szCs w:val="28"/>
        </w:rPr>
      </w:pPr>
      <w:r>
        <w:rPr>
          <w:rFonts w:hint="eastAsia" w:ascii="仿宋" w:hAnsi="仿宋" w:cs="仿宋"/>
          <w:sz w:val="28"/>
          <w:szCs w:val="28"/>
        </w:rPr>
        <w:t>公司组建方式规划</w:t>
      </w:r>
    </w:p>
    <w:p>
      <w:pPr>
        <w:numPr>
          <w:ilvl w:val="0"/>
          <w:numId w:val="2"/>
        </w:numPr>
        <w:spacing w:line="360" w:lineRule="auto"/>
        <w:ind w:firstLine="560" w:firstLineChars="200"/>
        <w:jc w:val="left"/>
        <w:rPr>
          <w:rFonts w:ascii="仿宋" w:hAnsi="仿宋" w:cs="仿宋"/>
          <w:sz w:val="28"/>
          <w:szCs w:val="28"/>
        </w:rPr>
      </w:pPr>
      <w:r>
        <w:rPr>
          <w:rFonts w:hint="eastAsia" w:ascii="仿宋" w:hAnsi="仿宋" w:cs="仿宋"/>
          <w:sz w:val="28"/>
          <w:szCs w:val="28"/>
        </w:rPr>
        <w:t>管控模式构建</w:t>
      </w:r>
    </w:p>
    <w:p>
      <w:pPr>
        <w:numPr>
          <w:ilvl w:val="0"/>
          <w:numId w:val="2"/>
        </w:numPr>
        <w:spacing w:line="360" w:lineRule="auto"/>
        <w:ind w:firstLine="560" w:firstLineChars="200"/>
        <w:jc w:val="left"/>
        <w:rPr>
          <w:rFonts w:ascii="仿宋" w:hAnsi="仿宋" w:cs="仿宋"/>
          <w:sz w:val="28"/>
          <w:szCs w:val="28"/>
        </w:rPr>
      </w:pPr>
      <w:r>
        <w:rPr>
          <w:rFonts w:hint="eastAsia" w:ascii="仿宋" w:hAnsi="仿宋" w:cs="仿宋"/>
          <w:sz w:val="28"/>
          <w:szCs w:val="28"/>
        </w:rPr>
        <w:t>界定总部职能</w:t>
      </w:r>
    </w:p>
    <w:p>
      <w:pPr>
        <w:numPr>
          <w:ilvl w:val="0"/>
          <w:numId w:val="2"/>
        </w:numPr>
        <w:spacing w:line="360" w:lineRule="auto"/>
        <w:ind w:firstLine="560" w:firstLineChars="200"/>
        <w:jc w:val="left"/>
        <w:rPr>
          <w:rFonts w:ascii="仿宋" w:hAnsi="仿宋" w:cs="仿宋"/>
          <w:sz w:val="28"/>
          <w:szCs w:val="28"/>
        </w:rPr>
      </w:pPr>
      <w:r>
        <w:rPr>
          <w:rFonts w:hint="eastAsia" w:ascii="仿宋" w:hAnsi="仿宋" w:cs="仿宋"/>
          <w:sz w:val="28"/>
          <w:szCs w:val="28"/>
        </w:rPr>
        <w:t>明确子公司权限边界</w:t>
      </w:r>
    </w:p>
    <w:p>
      <w:pPr>
        <w:numPr>
          <w:ilvl w:val="0"/>
          <w:numId w:val="2"/>
        </w:numPr>
        <w:spacing w:line="360" w:lineRule="auto"/>
        <w:ind w:firstLine="560" w:firstLineChars="200"/>
        <w:jc w:val="left"/>
        <w:rPr>
          <w:rFonts w:ascii="仿宋" w:hAnsi="仿宋" w:cs="仿宋"/>
          <w:sz w:val="28"/>
          <w:szCs w:val="28"/>
        </w:rPr>
      </w:pPr>
      <w:r>
        <w:rPr>
          <w:rFonts w:hint="eastAsia" w:ascii="仿宋" w:hAnsi="仿宋" w:cs="仿宋"/>
          <w:sz w:val="28"/>
          <w:szCs w:val="28"/>
        </w:rPr>
        <w:t>产业整合梳理</w:t>
      </w:r>
    </w:p>
    <w:p>
      <w:pPr>
        <w:pStyle w:val="3"/>
        <w:bidi w:val="0"/>
      </w:pPr>
      <w:bookmarkStart w:id="7" w:name="_Toc31039"/>
      <w:r>
        <w:rPr>
          <w:rFonts w:hint="eastAsia"/>
        </w:rPr>
        <w:t>3、国有企业的战略发展规划</w:t>
      </w:r>
      <w:bookmarkEnd w:id="7"/>
    </w:p>
    <w:p>
      <w:pPr>
        <w:numPr>
          <w:ilvl w:val="0"/>
          <w:numId w:val="3"/>
        </w:numPr>
        <w:spacing w:line="360" w:lineRule="auto"/>
        <w:ind w:firstLine="560" w:firstLineChars="200"/>
        <w:jc w:val="left"/>
        <w:rPr>
          <w:rFonts w:ascii="仿宋" w:hAnsi="仿宋" w:cs="仿宋"/>
          <w:sz w:val="28"/>
          <w:szCs w:val="28"/>
        </w:rPr>
      </w:pPr>
      <w:r>
        <w:rPr>
          <w:rFonts w:hint="eastAsia" w:ascii="仿宋" w:hAnsi="仿宋" w:cs="仿宋"/>
          <w:sz w:val="28"/>
          <w:szCs w:val="28"/>
        </w:rPr>
        <w:t>公司整体发展背景分析与研究</w:t>
      </w:r>
    </w:p>
    <w:p>
      <w:pPr>
        <w:numPr>
          <w:ilvl w:val="0"/>
          <w:numId w:val="3"/>
        </w:numPr>
        <w:spacing w:line="360" w:lineRule="auto"/>
        <w:ind w:firstLine="560" w:firstLineChars="200"/>
        <w:jc w:val="left"/>
        <w:rPr>
          <w:rFonts w:ascii="仿宋" w:hAnsi="仿宋" w:cs="仿宋"/>
          <w:sz w:val="28"/>
          <w:szCs w:val="28"/>
        </w:rPr>
      </w:pPr>
      <w:r>
        <w:rPr>
          <w:rFonts w:hint="eastAsia" w:ascii="仿宋" w:hAnsi="仿宋" w:cs="仿宋"/>
          <w:sz w:val="28"/>
          <w:szCs w:val="28"/>
        </w:rPr>
        <w:t>核心战略方向及战略目标规划</w:t>
      </w:r>
    </w:p>
    <w:p>
      <w:pPr>
        <w:numPr>
          <w:ilvl w:val="0"/>
          <w:numId w:val="3"/>
        </w:numPr>
        <w:spacing w:line="360" w:lineRule="auto"/>
        <w:ind w:firstLine="560" w:firstLineChars="200"/>
        <w:jc w:val="left"/>
        <w:rPr>
          <w:rFonts w:ascii="仿宋" w:hAnsi="仿宋" w:cs="仿宋"/>
          <w:sz w:val="28"/>
          <w:szCs w:val="28"/>
        </w:rPr>
      </w:pPr>
      <w:r>
        <w:rPr>
          <w:rFonts w:hint="eastAsia" w:ascii="仿宋" w:hAnsi="仿宋" w:cs="仿宋"/>
          <w:sz w:val="28"/>
          <w:szCs w:val="28"/>
        </w:rPr>
        <w:t>核心业务模式及业务结构规划</w:t>
      </w:r>
    </w:p>
    <w:p>
      <w:pPr>
        <w:numPr>
          <w:ilvl w:val="0"/>
          <w:numId w:val="3"/>
        </w:numPr>
        <w:spacing w:line="360" w:lineRule="auto"/>
        <w:ind w:firstLine="560" w:firstLineChars="200"/>
        <w:jc w:val="left"/>
        <w:rPr>
          <w:rFonts w:ascii="仿宋" w:hAnsi="仿宋" w:cs="仿宋"/>
          <w:sz w:val="28"/>
          <w:szCs w:val="28"/>
        </w:rPr>
      </w:pPr>
      <w:r>
        <w:rPr>
          <w:rFonts w:hint="eastAsia" w:ascii="仿宋" w:hAnsi="仿宋" w:cs="仿宋"/>
          <w:sz w:val="28"/>
          <w:szCs w:val="28"/>
        </w:rPr>
        <w:t>战略实施步骤及重点工作分解）</w:t>
      </w:r>
    </w:p>
    <w:p>
      <w:pPr>
        <w:pStyle w:val="3"/>
        <w:bidi w:val="0"/>
      </w:pPr>
      <w:bookmarkStart w:id="8" w:name="_Toc18177"/>
      <w:r>
        <w:rPr>
          <w:rFonts w:hint="eastAsia"/>
        </w:rPr>
        <w:t>4、顶层架构设计及组织运营体系</w:t>
      </w:r>
      <w:bookmarkEnd w:id="8"/>
    </w:p>
    <w:p>
      <w:pPr>
        <w:tabs>
          <w:tab w:val="left" w:pos="312"/>
        </w:tabs>
        <w:spacing w:line="360" w:lineRule="auto"/>
        <w:ind w:left="600"/>
        <w:rPr>
          <w:rFonts w:ascii="仿宋" w:hAnsi="仿宋" w:cs="仿宋"/>
          <w:sz w:val="28"/>
          <w:szCs w:val="28"/>
        </w:rPr>
      </w:pPr>
      <w:r>
        <w:rPr>
          <w:rFonts w:hint="eastAsia" w:ascii="仿宋" w:hAnsi="仿宋" w:cs="仿宋"/>
          <w:sz w:val="28"/>
          <w:szCs w:val="28"/>
        </w:rPr>
        <w:t>（1）法人治理结构设计及管理层激励方案</w:t>
      </w:r>
    </w:p>
    <w:p>
      <w:pPr>
        <w:tabs>
          <w:tab w:val="left" w:pos="312"/>
        </w:tabs>
        <w:spacing w:line="360" w:lineRule="auto"/>
        <w:ind w:left="600"/>
        <w:rPr>
          <w:rFonts w:ascii="仿宋" w:hAnsi="仿宋" w:cs="仿宋"/>
          <w:sz w:val="28"/>
          <w:szCs w:val="28"/>
        </w:rPr>
      </w:pPr>
      <w:r>
        <w:rPr>
          <w:rFonts w:hint="eastAsia" w:ascii="仿宋" w:hAnsi="仿宋" w:cs="仿宋"/>
          <w:sz w:val="28"/>
          <w:szCs w:val="28"/>
        </w:rPr>
        <w:t>（2）董事会、监事会议事规则</w:t>
      </w:r>
    </w:p>
    <w:p>
      <w:pPr>
        <w:tabs>
          <w:tab w:val="left" w:pos="312"/>
        </w:tabs>
        <w:spacing w:line="360" w:lineRule="auto"/>
        <w:ind w:left="600"/>
        <w:rPr>
          <w:rFonts w:ascii="仿宋" w:hAnsi="仿宋" w:cs="仿宋"/>
          <w:sz w:val="28"/>
          <w:szCs w:val="28"/>
        </w:rPr>
      </w:pPr>
      <w:r>
        <w:rPr>
          <w:rFonts w:hint="eastAsia" w:ascii="仿宋" w:hAnsi="仿宋" w:cs="仿宋"/>
          <w:sz w:val="28"/>
          <w:szCs w:val="28"/>
        </w:rPr>
        <w:t>（3）集团及子公司组织架构及管理体系设计</w:t>
      </w:r>
    </w:p>
    <w:p>
      <w:pPr>
        <w:tabs>
          <w:tab w:val="left" w:pos="312"/>
        </w:tabs>
        <w:spacing w:line="360" w:lineRule="auto"/>
        <w:ind w:left="600"/>
        <w:rPr>
          <w:rFonts w:ascii="仿宋" w:hAnsi="仿宋" w:cs="仿宋"/>
          <w:sz w:val="28"/>
          <w:szCs w:val="28"/>
        </w:rPr>
      </w:pPr>
      <w:r>
        <w:rPr>
          <w:rFonts w:hint="eastAsia" w:ascii="仿宋" w:hAnsi="仿宋" w:cs="仿宋"/>
          <w:sz w:val="28"/>
          <w:szCs w:val="28"/>
        </w:rPr>
        <w:t>（4）基于业务拓展与劳动定额的岗位及人员编制科学规划设计</w:t>
      </w:r>
    </w:p>
    <w:p>
      <w:pPr>
        <w:tabs>
          <w:tab w:val="left" w:pos="312"/>
        </w:tabs>
        <w:spacing w:line="360" w:lineRule="auto"/>
        <w:ind w:left="600"/>
        <w:rPr>
          <w:rFonts w:ascii="仿宋" w:hAnsi="仿宋" w:cs="仿宋"/>
          <w:sz w:val="28"/>
          <w:szCs w:val="28"/>
        </w:rPr>
      </w:pPr>
      <w:r>
        <w:rPr>
          <w:rFonts w:hint="eastAsia" w:ascii="仿宋" w:hAnsi="仿宋" w:cs="仿宋"/>
          <w:sz w:val="28"/>
          <w:szCs w:val="28"/>
        </w:rPr>
        <w:t>（5）部门及岗位职责界定</w:t>
      </w:r>
    </w:p>
    <w:p>
      <w:pPr>
        <w:tabs>
          <w:tab w:val="left" w:pos="312"/>
        </w:tabs>
        <w:spacing w:line="360" w:lineRule="auto"/>
        <w:ind w:left="600"/>
        <w:rPr>
          <w:rFonts w:ascii="仿宋" w:hAnsi="仿宋" w:cs="仿宋"/>
          <w:sz w:val="28"/>
          <w:szCs w:val="28"/>
        </w:rPr>
      </w:pPr>
      <w:r>
        <w:rPr>
          <w:rFonts w:hint="eastAsia" w:ascii="仿宋" w:hAnsi="仿宋" w:cs="仿宋"/>
          <w:sz w:val="28"/>
          <w:szCs w:val="28"/>
        </w:rPr>
        <w:t>（6）集团管控核心职责界面</w:t>
      </w:r>
    </w:p>
    <w:p>
      <w:pPr>
        <w:tabs>
          <w:tab w:val="left" w:pos="312"/>
        </w:tabs>
        <w:spacing w:line="360" w:lineRule="auto"/>
        <w:ind w:left="600"/>
        <w:rPr>
          <w:rFonts w:ascii="仿宋" w:hAnsi="仿宋" w:cs="仿宋"/>
          <w:sz w:val="28"/>
          <w:szCs w:val="28"/>
        </w:rPr>
      </w:pPr>
      <w:r>
        <w:rPr>
          <w:rFonts w:hint="eastAsia" w:ascii="仿宋" w:hAnsi="仿宋" w:cs="仿宋"/>
          <w:sz w:val="28"/>
          <w:szCs w:val="28"/>
        </w:rPr>
        <w:t>（7）核心业务流程、管理制度设计</w:t>
      </w:r>
    </w:p>
    <w:p>
      <w:pPr>
        <w:pStyle w:val="3"/>
        <w:bidi w:val="0"/>
      </w:pPr>
      <w:bookmarkStart w:id="9" w:name="_Toc24650"/>
      <w:r>
        <w:rPr>
          <w:rFonts w:hint="eastAsia"/>
        </w:rPr>
        <w:t>5、人力资源管理</w:t>
      </w:r>
      <w:bookmarkEnd w:id="9"/>
    </w:p>
    <w:p>
      <w:pPr>
        <w:numPr>
          <w:ilvl w:val="0"/>
          <w:numId w:val="4"/>
        </w:numPr>
        <w:spacing w:line="360" w:lineRule="auto"/>
        <w:ind w:left="600" w:leftChars="200"/>
        <w:rPr>
          <w:rFonts w:ascii="仿宋" w:hAnsi="仿宋" w:cs="仿宋"/>
          <w:sz w:val="28"/>
          <w:szCs w:val="28"/>
        </w:rPr>
      </w:pPr>
      <w:r>
        <w:rPr>
          <w:rFonts w:hint="eastAsia" w:ascii="仿宋" w:hAnsi="仿宋" w:cs="仿宋"/>
          <w:sz w:val="28"/>
          <w:szCs w:val="28"/>
        </w:rPr>
        <w:t>人才发展规划设计</w:t>
      </w:r>
    </w:p>
    <w:p>
      <w:pPr>
        <w:numPr>
          <w:ilvl w:val="0"/>
          <w:numId w:val="4"/>
        </w:numPr>
        <w:spacing w:line="360" w:lineRule="auto"/>
        <w:ind w:left="600" w:leftChars="200"/>
        <w:rPr>
          <w:rFonts w:ascii="仿宋" w:hAnsi="仿宋" w:cs="仿宋"/>
          <w:sz w:val="28"/>
          <w:szCs w:val="28"/>
        </w:rPr>
      </w:pPr>
      <w:r>
        <w:rPr>
          <w:rFonts w:hint="eastAsia" w:ascii="仿宋" w:hAnsi="仿宋" w:cs="仿宋"/>
          <w:sz w:val="28"/>
          <w:szCs w:val="28"/>
        </w:rPr>
        <w:t>人员身份转变及人才薪酬福利体系搭建</w:t>
      </w:r>
    </w:p>
    <w:p>
      <w:pPr>
        <w:numPr>
          <w:ilvl w:val="0"/>
          <w:numId w:val="4"/>
        </w:numPr>
        <w:spacing w:line="360" w:lineRule="auto"/>
        <w:ind w:left="600" w:leftChars="200"/>
        <w:rPr>
          <w:rFonts w:ascii="仿宋" w:hAnsi="仿宋" w:cs="仿宋"/>
          <w:sz w:val="28"/>
          <w:szCs w:val="28"/>
        </w:rPr>
      </w:pPr>
      <w:r>
        <w:rPr>
          <w:rFonts w:hint="eastAsia" w:ascii="仿宋" w:hAnsi="仿宋" w:cs="仿宋"/>
          <w:sz w:val="28"/>
          <w:szCs w:val="28"/>
        </w:rPr>
        <w:t>岗位设计与任职资格体系、招聘管理、人才素质评价体系</w:t>
      </w:r>
    </w:p>
    <w:p>
      <w:pPr>
        <w:numPr>
          <w:ilvl w:val="0"/>
          <w:numId w:val="4"/>
        </w:numPr>
        <w:spacing w:line="360" w:lineRule="auto"/>
        <w:ind w:left="600" w:leftChars="200"/>
        <w:rPr>
          <w:rFonts w:ascii="仿宋" w:hAnsi="仿宋" w:cs="仿宋"/>
          <w:sz w:val="28"/>
          <w:szCs w:val="28"/>
        </w:rPr>
      </w:pPr>
      <w:r>
        <w:rPr>
          <w:rFonts w:hint="eastAsia" w:ascii="仿宋" w:hAnsi="仿宋" w:cs="仿宋"/>
          <w:sz w:val="28"/>
          <w:szCs w:val="28"/>
        </w:rPr>
        <w:t>薪酬体系、绩效考核体系、员工职业发展体系、培训管理体系</w:t>
      </w:r>
    </w:p>
    <w:p>
      <w:pPr>
        <w:pStyle w:val="3"/>
        <w:bidi w:val="0"/>
      </w:pPr>
      <w:bookmarkStart w:id="10" w:name="_Toc15604"/>
      <w:r>
        <w:rPr>
          <w:rFonts w:hint="eastAsia"/>
        </w:rPr>
        <w:t>6、职业经理人</w:t>
      </w:r>
      <w:bookmarkEnd w:id="10"/>
    </w:p>
    <w:p>
      <w:pPr>
        <w:spacing w:line="360" w:lineRule="auto"/>
        <w:ind w:firstLine="560" w:firstLineChars="200"/>
        <w:rPr>
          <w:rFonts w:ascii="仿宋" w:hAnsi="仿宋" w:cs="仿宋"/>
          <w:sz w:val="28"/>
          <w:szCs w:val="28"/>
        </w:rPr>
      </w:pPr>
      <w:r>
        <w:rPr>
          <w:rFonts w:hint="eastAsia" w:ascii="仿宋" w:hAnsi="仿宋" w:cs="仿宋"/>
          <w:sz w:val="28"/>
          <w:szCs w:val="28"/>
        </w:rPr>
        <w:t>（1）职业经理人身份转变体系搭建</w:t>
      </w:r>
    </w:p>
    <w:p>
      <w:pPr>
        <w:spacing w:line="360" w:lineRule="auto"/>
        <w:ind w:firstLine="560" w:firstLineChars="200"/>
        <w:rPr>
          <w:rFonts w:ascii="仿宋" w:hAnsi="仿宋" w:cs="仿宋"/>
          <w:sz w:val="28"/>
          <w:szCs w:val="28"/>
        </w:rPr>
      </w:pPr>
      <w:r>
        <w:rPr>
          <w:rFonts w:hint="eastAsia" w:ascii="仿宋" w:hAnsi="仿宋" w:cs="仿宋"/>
          <w:sz w:val="28"/>
          <w:szCs w:val="28"/>
        </w:rPr>
        <w:t>（2）职业经理人岗位设计与任职资格体系</w:t>
      </w:r>
    </w:p>
    <w:p>
      <w:pPr>
        <w:spacing w:line="360" w:lineRule="auto"/>
        <w:ind w:firstLine="560" w:firstLineChars="200"/>
        <w:rPr>
          <w:rFonts w:ascii="仿宋" w:hAnsi="仿宋" w:cs="仿宋"/>
          <w:sz w:val="28"/>
          <w:szCs w:val="28"/>
        </w:rPr>
      </w:pPr>
      <w:r>
        <w:rPr>
          <w:rFonts w:hint="eastAsia" w:ascii="仿宋" w:hAnsi="仿宋" w:cs="仿宋"/>
          <w:sz w:val="28"/>
          <w:szCs w:val="28"/>
        </w:rPr>
        <w:t>（3）职业经理人薪酬体系</w:t>
      </w:r>
    </w:p>
    <w:p>
      <w:pPr>
        <w:spacing w:line="360" w:lineRule="auto"/>
        <w:ind w:firstLine="560" w:firstLineChars="200"/>
        <w:rPr>
          <w:rFonts w:ascii="仿宋" w:hAnsi="仿宋" w:cs="仿宋"/>
          <w:sz w:val="28"/>
          <w:szCs w:val="28"/>
        </w:rPr>
      </w:pPr>
      <w:r>
        <w:rPr>
          <w:rFonts w:hint="eastAsia" w:ascii="仿宋" w:hAnsi="仿宋" w:cs="仿宋"/>
          <w:sz w:val="28"/>
          <w:szCs w:val="28"/>
        </w:rPr>
        <w:t>（4）职业经理人考核体系</w:t>
      </w:r>
    </w:p>
    <w:p>
      <w:pPr>
        <w:pStyle w:val="3"/>
        <w:bidi w:val="0"/>
      </w:pPr>
      <w:bookmarkStart w:id="11" w:name="_Toc23765"/>
      <w:r>
        <w:rPr>
          <w:rFonts w:hint="eastAsia"/>
        </w:rPr>
        <w:t>7、中长期激励机制</w:t>
      </w:r>
      <w:bookmarkEnd w:id="11"/>
    </w:p>
    <w:p>
      <w:pPr>
        <w:spacing w:line="360" w:lineRule="auto"/>
        <w:ind w:firstLine="560" w:firstLineChars="200"/>
        <w:rPr>
          <w:rFonts w:ascii="仿宋" w:hAnsi="仿宋" w:cs="仿宋"/>
          <w:sz w:val="28"/>
          <w:szCs w:val="28"/>
        </w:rPr>
      </w:pPr>
      <w:r>
        <w:rPr>
          <w:rFonts w:hint="eastAsia" w:ascii="仿宋" w:hAnsi="仿宋" w:cs="仿宋"/>
          <w:sz w:val="28"/>
          <w:szCs w:val="28"/>
        </w:rPr>
        <w:t>（1）中长期激励模式选择（分红激励、权益激励）</w:t>
      </w:r>
    </w:p>
    <w:p>
      <w:pPr>
        <w:spacing w:line="360" w:lineRule="auto"/>
        <w:ind w:firstLine="560" w:firstLineChars="200"/>
        <w:rPr>
          <w:rFonts w:ascii="仿宋" w:hAnsi="仿宋" w:cs="仿宋"/>
          <w:sz w:val="28"/>
          <w:szCs w:val="28"/>
        </w:rPr>
      </w:pPr>
      <w:r>
        <w:rPr>
          <w:rFonts w:hint="eastAsia" w:ascii="仿宋" w:hAnsi="仿宋" w:cs="仿宋"/>
          <w:sz w:val="28"/>
          <w:szCs w:val="28"/>
        </w:rPr>
        <w:t>（2）中长期激励7定方案</w:t>
      </w:r>
    </w:p>
    <w:p>
      <w:pPr>
        <w:spacing w:line="360" w:lineRule="auto"/>
        <w:ind w:firstLine="560" w:firstLineChars="200"/>
        <w:rPr>
          <w:rFonts w:ascii="仿宋" w:hAnsi="仿宋" w:cs="仿宋"/>
          <w:sz w:val="28"/>
          <w:szCs w:val="28"/>
        </w:rPr>
      </w:pPr>
      <w:r>
        <w:rPr>
          <w:rFonts w:hint="eastAsia" w:ascii="仿宋" w:hAnsi="仿宋" w:cs="仿宋"/>
          <w:sz w:val="28"/>
          <w:szCs w:val="28"/>
        </w:rPr>
        <w:t>（3）中长期激励考核评价体系设计</w:t>
      </w:r>
    </w:p>
    <w:p>
      <w:pPr>
        <w:spacing w:line="360" w:lineRule="auto"/>
        <w:ind w:firstLine="560" w:firstLineChars="200"/>
        <w:rPr>
          <w:rFonts w:ascii="仿宋" w:hAnsi="仿宋" w:cs="仿宋"/>
          <w:sz w:val="28"/>
          <w:szCs w:val="28"/>
        </w:rPr>
      </w:pPr>
      <w:r>
        <w:rPr>
          <w:rFonts w:hint="eastAsia" w:ascii="仿宋" w:hAnsi="仿宋" w:cs="仿宋"/>
          <w:sz w:val="28"/>
          <w:szCs w:val="28"/>
        </w:rPr>
        <w:t>（4）中长期激励持股平台模式设计</w:t>
      </w:r>
    </w:p>
    <w:p>
      <w:pPr>
        <w:pStyle w:val="3"/>
        <w:bidi w:val="0"/>
      </w:pPr>
      <w:bookmarkStart w:id="12" w:name="_Toc3394"/>
      <w:r>
        <w:rPr>
          <w:rFonts w:hint="eastAsia"/>
        </w:rPr>
        <w:t>8、投融资规划及模式设计</w:t>
      </w:r>
      <w:bookmarkEnd w:id="12"/>
    </w:p>
    <w:p>
      <w:pPr>
        <w:spacing w:line="360" w:lineRule="auto"/>
        <w:ind w:firstLine="560" w:firstLineChars="200"/>
        <w:rPr>
          <w:rFonts w:ascii="仿宋" w:hAnsi="仿宋" w:cs="仿宋"/>
          <w:sz w:val="28"/>
          <w:szCs w:val="28"/>
        </w:rPr>
      </w:pPr>
      <w:r>
        <w:rPr>
          <w:rFonts w:hint="eastAsia" w:ascii="仿宋" w:hAnsi="仿宋" w:cs="仿宋"/>
          <w:sz w:val="28"/>
          <w:szCs w:val="28"/>
        </w:rPr>
        <w:t>（1）融资模式研究</w:t>
      </w:r>
    </w:p>
    <w:p>
      <w:pPr>
        <w:spacing w:line="360" w:lineRule="auto"/>
        <w:ind w:firstLine="560" w:firstLineChars="200"/>
        <w:rPr>
          <w:rFonts w:ascii="仿宋" w:hAnsi="仿宋" w:cs="仿宋"/>
          <w:sz w:val="28"/>
          <w:szCs w:val="28"/>
        </w:rPr>
      </w:pPr>
      <w:r>
        <w:rPr>
          <w:rFonts w:hint="eastAsia" w:ascii="仿宋" w:hAnsi="仿宋" w:cs="仿宋"/>
          <w:sz w:val="28"/>
          <w:szCs w:val="28"/>
        </w:rPr>
        <w:t>（2）产业投融资机制设计</w:t>
      </w:r>
    </w:p>
    <w:p>
      <w:pPr>
        <w:spacing w:line="360" w:lineRule="auto"/>
        <w:ind w:firstLine="560" w:firstLineChars="200"/>
        <w:rPr>
          <w:rFonts w:ascii="仿宋" w:hAnsi="仿宋" w:cs="仿宋"/>
          <w:sz w:val="28"/>
          <w:szCs w:val="28"/>
        </w:rPr>
      </w:pPr>
      <w:r>
        <w:rPr>
          <w:rFonts w:hint="eastAsia" w:ascii="仿宋" w:hAnsi="仿宋" w:cs="仿宋"/>
          <w:sz w:val="28"/>
          <w:szCs w:val="28"/>
        </w:rPr>
        <w:t>（3）融资渠道总体设计规化</w:t>
      </w:r>
    </w:p>
    <w:p>
      <w:pPr>
        <w:spacing w:line="360" w:lineRule="auto"/>
        <w:ind w:firstLine="560" w:firstLineChars="200"/>
        <w:rPr>
          <w:rFonts w:ascii="仿宋" w:hAnsi="仿宋" w:cs="仿宋"/>
          <w:sz w:val="28"/>
          <w:szCs w:val="28"/>
        </w:rPr>
      </w:pPr>
      <w:r>
        <w:rPr>
          <w:rFonts w:hint="eastAsia" w:ascii="仿宋" w:hAnsi="仿宋" w:cs="仿宋"/>
          <w:sz w:val="28"/>
          <w:szCs w:val="28"/>
        </w:rPr>
        <w:t>（4）重点建设及投资项目梳理</w:t>
      </w:r>
    </w:p>
    <w:p>
      <w:pPr>
        <w:spacing w:line="360" w:lineRule="auto"/>
        <w:ind w:firstLine="560" w:firstLineChars="200"/>
        <w:rPr>
          <w:rFonts w:ascii="仿宋" w:hAnsi="仿宋" w:cs="仿宋"/>
          <w:sz w:val="28"/>
          <w:szCs w:val="28"/>
        </w:rPr>
      </w:pPr>
      <w:r>
        <w:rPr>
          <w:rFonts w:hint="eastAsia" w:ascii="仿宋" w:hAnsi="仿宋" w:cs="仿宋"/>
          <w:sz w:val="28"/>
          <w:szCs w:val="28"/>
        </w:rPr>
        <w:t>（5）融资需求及解决方案</w:t>
      </w: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pStyle w:val="2"/>
        <w:bidi w:val="0"/>
      </w:pPr>
      <w:bookmarkStart w:id="13" w:name="_Toc30401"/>
      <w:r>
        <w:rPr>
          <w:rFonts w:hint="eastAsia"/>
        </w:rPr>
        <w:t>四、工作报价</w:t>
      </w:r>
      <w:bookmarkEnd w:id="13"/>
    </w:p>
    <w:p>
      <w:pPr>
        <w:spacing w:line="360" w:lineRule="auto"/>
        <w:ind w:firstLine="560" w:firstLineChars="200"/>
        <w:rPr>
          <w:rFonts w:ascii="仿宋" w:hAnsi="仿宋" w:cs="Arial"/>
          <w:sz w:val="28"/>
          <w:szCs w:val="28"/>
        </w:rPr>
      </w:pPr>
      <w:r>
        <w:rPr>
          <w:rFonts w:hint="eastAsia" w:ascii="仿宋" w:hAnsi="仿宋" w:cs="Arial"/>
          <w:sz w:val="28"/>
          <w:szCs w:val="28"/>
        </w:rPr>
        <w:t>根据国企改革业务特点，采用分级模块报价体系，具体如下：</w:t>
      </w:r>
    </w:p>
    <w:p>
      <w:pPr>
        <w:pStyle w:val="3"/>
        <w:bidi w:val="0"/>
      </w:pPr>
      <w:bookmarkStart w:id="14" w:name="_Toc2338"/>
      <w:r>
        <w:rPr>
          <w:rFonts w:hint="eastAsia"/>
        </w:rPr>
        <w:t>（一）业务模块报价</w:t>
      </w:r>
      <w:bookmarkEnd w:id="14"/>
    </w:p>
    <w:tbl>
      <w:tblPr>
        <w:tblStyle w:val="12"/>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232"/>
        <w:gridCol w:w="358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rPr>
                <w:rFonts w:ascii="仿宋" w:hAnsi="仿宋" w:cstheme="majorEastAsia"/>
                <w:b/>
                <w:bCs/>
                <w:sz w:val="24"/>
              </w:rPr>
            </w:pPr>
            <w:r>
              <w:rPr>
                <w:rFonts w:hint="eastAsia" w:ascii="仿宋" w:hAnsi="仿宋" w:cstheme="majorEastAsia"/>
                <w:b/>
                <w:bCs/>
                <w:sz w:val="24"/>
              </w:rPr>
              <w:t>编号</w:t>
            </w:r>
          </w:p>
        </w:tc>
        <w:tc>
          <w:tcPr>
            <w:tcW w:w="2232" w:type="dxa"/>
          </w:tcPr>
          <w:p>
            <w:pPr>
              <w:adjustRightInd w:val="0"/>
              <w:snapToGrid w:val="0"/>
              <w:rPr>
                <w:rFonts w:ascii="仿宋" w:hAnsi="仿宋" w:cstheme="majorEastAsia"/>
                <w:b/>
                <w:bCs/>
                <w:sz w:val="24"/>
              </w:rPr>
            </w:pPr>
            <w:r>
              <w:rPr>
                <w:rFonts w:hint="eastAsia" w:ascii="仿宋" w:hAnsi="仿宋" w:cstheme="majorEastAsia"/>
                <w:b/>
                <w:bCs/>
                <w:sz w:val="24"/>
              </w:rPr>
              <w:t>模块名称</w:t>
            </w:r>
          </w:p>
        </w:tc>
        <w:tc>
          <w:tcPr>
            <w:tcW w:w="3588" w:type="dxa"/>
          </w:tcPr>
          <w:p>
            <w:pPr>
              <w:adjustRightInd w:val="0"/>
              <w:snapToGrid w:val="0"/>
              <w:rPr>
                <w:rFonts w:ascii="仿宋" w:hAnsi="仿宋" w:cstheme="majorEastAsia"/>
                <w:b/>
                <w:bCs/>
                <w:sz w:val="24"/>
              </w:rPr>
            </w:pPr>
            <w:r>
              <w:rPr>
                <w:rFonts w:hint="eastAsia" w:ascii="仿宋" w:hAnsi="仿宋" w:cstheme="majorEastAsia"/>
                <w:b/>
                <w:bCs/>
                <w:sz w:val="24"/>
              </w:rPr>
              <w:t>模块工作内容</w:t>
            </w:r>
          </w:p>
        </w:tc>
        <w:tc>
          <w:tcPr>
            <w:tcW w:w="1254" w:type="dxa"/>
          </w:tcPr>
          <w:p>
            <w:pPr>
              <w:adjustRightInd w:val="0"/>
              <w:snapToGrid w:val="0"/>
              <w:rPr>
                <w:rFonts w:ascii="仿宋" w:hAnsi="仿宋" w:cstheme="majorEastAsia"/>
                <w:b/>
                <w:bCs/>
                <w:sz w:val="24"/>
              </w:rPr>
            </w:pPr>
            <w:r>
              <w:rPr>
                <w:rFonts w:hint="eastAsia" w:ascii="仿宋" w:hAnsi="仿宋" w:cstheme="majorEastAsia"/>
                <w:b/>
                <w:bCs/>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val="en-US" w:eastAsia="zh-CN"/>
              </w:rPr>
              <w:t>1</w:t>
            </w:r>
          </w:p>
        </w:tc>
        <w:tc>
          <w:tcPr>
            <w:tcW w:w="2232" w:type="dxa"/>
          </w:tcPr>
          <w:p>
            <w:pPr>
              <w:adjustRightInd w:val="0"/>
              <w:snapToGrid w:val="0"/>
              <w:rPr>
                <w:rFonts w:asciiTheme="majorEastAsia" w:hAnsiTheme="majorEastAsia" w:eastAsiaTheme="majorEastAsia" w:cstheme="majorEastAsia"/>
                <w:b/>
                <w:bCs/>
                <w:sz w:val="24"/>
              </w:rPr>
            </w:pPr>
            <w:r>
              <w:rPr>
                <w:rFonts w:hint="eastAsia" w:ascii="仿宋" w:hAnsi="仿宋" w:cs="仿宋"/>
                <w:sz w:val="24"/>
              </w:rPr>
              <w:t>混合所有制改革</w:t>
            </w:r>
          </w:p>
        </w:tc>
        <w:tc>
          <w:tcPr>
            <w:tcW w:w="3588" w:type="dxa"/>
          </w:tcPr>
          <w:p>
            <w:pPr>
              <w:adjustRightInd w:val="0"/>
              <w:snapToGrid w:val="0"/>
              <w:rPr>
                <w:rFonts w:ascii="仿宋" w:hAnsi="仿宋" w:cs="仿宋"/>
                <w:sz w:val="24"/>
              </w:rPr>
            </w:pPr>
            <w:r>
              <w:rPr>
                <w:rFonts w:hint="eastAsia" w:ascii="仿宋" w:hAnsi="仿宋" w:cs="仿宋"/>
                <w:sz w:val="24"/>
              </w:rPr>
              <w:t>（1）混合所有制改革方案设计；</w:t>
            </w:r>
          </w:p>
          <w:p>
            <w:pPr>
              <w:adjustRightInd w:val="0"/>
              <w:snapToGrid w:val="0"/>
              <w:rPr>
                <w:rFonts w:ascii="仿宋" w:hAnsi="仿宋" w:cs="仿宋"/>
                <w:sz w:val="24"/>
              </w:rPr>
            </w:pPr>
            <w:r>
              <w:rPr>
                <w:rFonts w:hint="eastAsia" w:ascii="仿宋" w:hAnsi="仿宋" w:cs="仿宋"/>
                <w:sz w:val="24"/>
              </w:rPr>
              <w:t>（2）提供政策咨询（产业政策、行业政策和税收、金融等方面），为混合所有制改革企业理清政策思路，破解政策风险；</w:t>
            </w:r>
          </w:p>
          <w:p>
            <w:pPr>
              <w:adjustRightInd w:val="0"/>
              <w:snapToGrid w:val="0"/>
              <w:rPr>
                <w:rFonts w:ascii="仿宋" w:hAnsi="仿宋" w:cs="仿宋"/>
                <w:sz w:val="24"/>
              </w:rPr>
            </w:pPr>
            <w:r>
              <w:rPr>
                <w:rFonts w:hint="eastAsia" w:ascii="仿宋" w:hAnsi="仿宋" w:cs="仿宋"/>
                <w:sz w:val="24"/>
              </w:rPr>
              <w:t>（3）拟定混合所有制企业法人治理规范化设计方案；</w:t>
            </w:r>
          </w:p>
          <w:p>
            <w:pPr>
              <w:adjustRightInd w:val="0"/>
              <w:snapToGrid w:val="0"/>
              <w:rPr>
                <w:rFonts w:ascii="仿宋" w:hAnsi="仿宋" w:cs="仿宋"/>
                <w:sz w:val="24"/>
              </w:rPr>
            </w:pPr>
            <w:r>
              <w:rPr>
                <w:rFonts w:hint="eastAsia" w:ascii="仿宋" w:hAnsi="仿宋" w:cs="仿宋"/>
                <w:sz w:val="24"/>
              </w:rPr>
              <w:t>（4）拟定职工安置方案人员身份和薪酬福利策略。</w:t>
            </w:r>
          </w:p>
          <w:p>
            <w:pPr>
              <w:adjustRightInd w:val="0"/>
              <w:snapToGrid w:val="0"/>
              <w:rPr>
                <w:rFonts w:ascii="仿宋" w:hAnsi="仿宋" w:cs="仿宋"/>
                <w:sz w:val="24"/>
              </w:rPr>
            </w:pPr>
            <w:r>
              <w:rPr>
                <w:rFonts w:hint="eastAsia" w:ascii="仿宋" w:hAnsi="仿宋" w:cs="仿宋"/>
                <w:sz w:val="24"/>
              </w:rPr>
              <w:t>（5）联系选聘符合条件的中介开展审计评估工作</w:t>
            </w:r>
          </w:p>
          <w:p>
            <w:pPr>
              <w:adjustRightInd w:val="0"/>
              <w:snapToGrid w:val="0"/>
              <w:rPr>
                <w:rFonts w:asciiTheme="majorEastAsia" w:hAnsiTheme="majorEastAsia" w:eastAsiaTheme="majorEastAsia" w:cstheme="majorEastAsia"/>
                <w:b/>
                <w:bCs/>
                <w:sz w:val="24"/>
              </w:rPr>
            </w:pPr>
            <w:r>
              <w:rPr>
                <w:rFonts w:hint="eastAsia" w:ascii="仿宋" w:hAnsi="仿宋" w:cs="仿宋"/>
                <w:sz w:val="24"/>
              </w:rPr>
              <w:t>（6）作为产权交易机构代理商，服务进场交易，完成产权交割。</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theme="majorEastAsia"/>
                <w:bCs/>
                <w:sz w:val="24"/>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val="en-US" w:eastAsia="zh-CN"/>
              </w:rPr>
              <w:t>2</w:t>
            </w:r>
          </w:p>
        </w:tc>
        <w:tc>
          <w:tcPr>
            <w:tcW w:w="2232" w:type="dxa"/>
          </w:tcPr>
          <w:p>
            <w:pPr>
              <w:adjustRightInd w:val="0"/>
              <w:snapToGrid w:val="0"/>
              <w:rPr>
                <w:rFonts w:asciiTheme="majorEastAsia" w:hAnsiTheme="majorEastAsia" w:eastAsiaTheme="majorEastAsia" w:cstheme="majorEastAsia"/>
                <w:b/>
                <w:bCs/>
                <w:sz w:val="24"/>
              </w:rPr>
            </w:pPr>
            <w:r>
              <w:rPr>
                <w:rFonts w:hint="eastAsia" w:ascii="仿宋" w:hAnsi="仿宋" w:cs="仿宋"/>
                <w:sz w:val="24"/>
              </w:rPr>
              <w:t>国有资本投资、运营公司</w:t>
            </w:r>
          </w:p>
        </w:tc>
        <w:tc>
          <w:tcPr>
            <w:tcW w:w="3588" w:type="dxa"/>
          </w:tcPr>
          <w:p>
            <w:pPr>
              <w:numPr>
                <w:ilvl w:val="0"/>
                <w:numId w:val="5"/>
              </w:numPr>
              <w:adjustRightInd w:val="0"/>
              <w:snapToGrid w:val="0"/>
              <w:jc w:val="left"/>
              <w:rPr>
                <w:rFonts w:ascii="仿宋" w:hAnsi="仿宋" w:cs="仿宋"/>
                <w:sz w:val="24"/>
              </w:rPr>
            </w:pPr>
            <w:r>
              <w:rPr>
                <w:rFonts w:hint="eastAsia" w:ascii="仿宋" w:hAnsi="仿宋" w:cs="仿宋"/>
                <w:sz w:val="24"/>
              </w:rPr>
              <w:t>公司组建方式规划</w:t>
            </w:r>
          </w:p>
          <w:p>
            <w:pPr>
              <w:numPr>
                <w:ilvl w:val="0"/>
                <w:numId w:val="5"/>
              </w:numPr>
              <w:adjustRightInd w:val="0"/>
              <w:snapToGrid w:val="0"/>
              <w:jc w:val="left"/>
              <w:rPr>
                <w:rFonts w:ascii="仿宋" w:hAnsi="仿宋" w:cs="仿宋"/>
                <w:sz w:val="24"/>
              </w:rPr>
            </w:pPr>
            <w:r>
              <w:rPr>
                <w:rFonts w:hint="eastAsia" w:ascii="仿宋" w:hAnsi="仿宋" w:cs="仿宋"/>
                <w:sz w:val="24"/>
              </w:rPr>
              <w:t>管控模式构建</w:t>
            </w:r>
          </w:p>
          <w:p>
            <w:pPr>
              <w:numPr>
                <w:ilvl w:val="0"/>
                <w:numId w:val="5"/>
              </w:numPr>
              <w:adjustRightInd w:val="0"/>
              <w:snapToGrid w:val="0"/>
              <w:jc w:val="left"/>
              <w:rPr>
                <w:rFonts w:ascii="仿宋" w:hAnsi="仿宋" w:cs="仿宋"/>
                <w:sz w:val="24"/>
              </w:rPr>
            </w:pPr>
            <w:r>
              <w:rPr>
                <w:rFonts w:hint="eastAsia" w:ascii="仿宋" w:hAnsi="仿宋" w:cs="仿宋"/>
                <w:sz w:val="24"/>
              </w:rPr>
              <w:t>界定总部职能</w:t>
            </w:r>
          </w:p>
          <w:p>
            <w:pPr>
              <w:numPr>
                <w:ilvl w:val="0"/>
                <w:numId w:val="5"/>
              </w:numPr>
              <w:adjustRightInd w:val="0"/>
              <w:snapToGrid w:val="0"/>
              <w:jc w:val="left"/>
              <w:rPr>
                <w:rFonts w:ascii="仿宋" w:hAnsi="仿宋" w:cs="仿宋"/>
                <w:sz w:val="24"/>
              </w:rPr>
            </w:pPr>
            <w:r>
              <w:rPr>
                <w:rFonts w:hint="eastAsia" w:ascii="仿宋" w:hAnsi="仿宋" w:cs="仿宋"/>
                <w:sz w:val="24"/>
              </w:rPr>
              <w:t>明确子公司权限边界</w:t>
            </w:r>
          </w:p>
          <w:p>
            <w:pPr>
              <w:numPr>
                <w:ilvl w:val="0"/>
                <w:numId w:val="0"/>
              </w:numPr>
              <w:adjustRightInd w:val="0"/>
              <w:snapToGrid w:val="0"/>
              <w:jc w:val="left"/>
              <w:rPr>
                <w:rFonts w:asciiTheme="majorEastAsia" w:hAnsiTheme="majorEastAsia" w:eastAsiaTheme="majorEastAsia" w:cstheme="majorEastAsia"/>
                <w:b/>
                <w:bCs/>
                <w:sz w:val="24"/>
              </w:rPr>
            </w:pPr>
            <w:r>
              <w:rPr>
                <w:rFonts w:hint="eastAsia" w:ascii="仿宋" w:hAnsi="仿宋" w:cs="仿宋"/>
                <w:sz w:val="24"/>
                <w:lang w:eastAsia="zh-CN"/>
              </w:rPr>
              <w:t>（</w:t>
            </w:r>
            <w:r>
              <w:rPr>
                <w:rFonts w:hint="eastAsia" w:ascii="仿宋" w:hAnsi="仿宋" w:cs="仿宋"/>
                <w:sz w:val="24"/>
                <w:lang w:val="en-US" w:eastAsia="zh-CN"/>
              </w:rPr>
              <w:t>5）</w:t>
            </w:r>
            <w:r>
              <w:rPr>
                <w:rFonts w:hint="eastAsia" w:ascii="仿宋" w:hAnsi="仿宋" w:cs="仿宋"/>
                <w:sz w:val="24"/>
              </w:rPr>
              <w:t>产业整合梳理</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theme="majorEastAsia"/>
                <w:bCs/>
                <w:sz w:val="24"/>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val="en-US" w:eastAsia="zh-CN"/>
              </w:rPr>
              <w:t>3</w:t>
            </w:r>
          </w:p>
        </w:tc>
        <w:tc>
          <w:tcPr>
            <w:tcW w:w="2232" w:type="dxa"/>
          </w:tcPr>
          <w:p>
            <w:pPr>
              <w:adjustRightInd w:val="0"/>
              <w:snapToGrid w:val="0"/>
              <w:jc w:val="left"/>
              <w:rPr>
                <w:rFonts w:asciiTheme="majorEastAsia" w:hAnsiTheme="majorEastAsia" w:eastAsiaTheme="majorEastAsia" w:cstheme="majorEastAsia"/>
                <w:b/>
                <w:bCs/>
                <w:sz w:val="24"/>
              </w:rPr>
            </w:pPr>
            <w:r>
              <w:rPr>
                <w:rFonts w:hint="eastAsia" w:ascii="仿宋" w:hAnsi="仿宋" w:cs="仿宋"/>
                <w:sz w:val="24"/>
              </w:rPr>
              <w:t>国有企业的战略发展规划</w:t>
            </w:r>
          </w:p>
        </w:tc>
        <w:tc>
          <w:tcPr>
            <w:tcW w:w="3588" w:type="dxa"/>
          </w:tcPr>
          <w:p>
            <w:pPr>
              <w:adjustRightInd w:val="0"/>
              <w:snapToGrid w:val="0"/>
              <w:jc w:val="left"/>
              <w:rPr>
                <w:rFonts w:ascii="仿宋" w:hAnsi="仿宋" w:cs="仿宋"/>
                <w:sz w:val="24"/>
              </w:rPr>
            </w:pPr>
            <w:r>
              <w:rPr>
                <w:rFonts w:hint="eastAsia" w:ascii="仿宋" w:hAnsi="仿宋" w:cs="仿宋"/>
                <w:sz w:val="24"/>
              </w:rPr>
              <w:t>（1）公司整体发展背景分析与研究</w:t>
            </w:r>
          </w:p>
          <w:p>
            <w:pPr>
              <w:adjustRightInd w:val="0"/>
              <w:snapToGrid w:val="0"/>
              <w:jc w:val="left"/>
              <w:rPr>
                <w:rFonts w:ascii="仿宋" w:hAnsi="仿宋" w:cs="仿宋"/>
                <w:sz w:val="24"/>
              </w:rPr>
            </w:pPr>
            <w:r>
              <w:rPr>
                <w:rFonts w:hint="eastAsia" w:ascii="仿宋" w:hAnsi="仿宋" w:cs="仿宋"/>
                <w:sz w:val="24"/>
              </w:rPr>
              <w:t>（2）核心战略方向及战略目标规划</w:t>
            </w:r>
          </w:p>
          <w:p>
            <w:pPr>
              <w:adjustRightInd w:val="0"/>
              <w:snapToGrid w:val="0"/>
              <w:jc w:val="left"/>
              <w:rPr>
                <w:rFonts w:ascii="仿宋" w:hAnsi="仿宋" w:cs="仿宋"/>
                <w:sz w:val="24"/>
              </w:rPr>
            </w:pPr>
            <w:r>
              <w:rPr>
                <w:rFonts w:hint="eastAsia" w:ascii="仿宋" w:hAnsi="仿宋" w:cs="仿宋"/>
                <w:sz w:val="24"/>
              </w:rPr>
              <w:t>（3）核心业务模式及业务结构规划</w:t>
            </w:r>
          </w:p>
          <w:p>
            <w:pPr>
              <w:adjustRightInd w:val="0"/>
              <w:snapToGrid w:val="0"/>
              <w:jc w:val="left"/>
              <w:rPr>
                <w:rFonts w:asciiTheme="majorEastAsia" w:hAnsiTheme="majorEastAsia" w:eastAsiaTheme="majorEastAsia" w:cstheme="majorEastAsia"/>
                <w:b/>
                <w:bCs/>
                <w:sz w:val="24"/>
              </w:rPr>
            </w:pPr>
            <w:r>
              <w:rPr>
                <w:rFonts w:hint="eastAsia" w:ascii="仿宋" w:hAnsi="仿宋" w:cs="仿宋"/>
                <w:sz w:val="24"/>
              </w:rPr>
              <w:t>（4）战略实施步骤及重点工作分解</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theme="majorEastAsia"/>
                <w:bCs/>
                <w:sz w:val="24"/>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仿宋" w:hAnsi="仿宋" w:eastAsia="仿宋" w:cs="仿宋"/>
                <w:sz w:val="24"/>
                <w:lang w:eastAsia="zh-CN"/>
              </w:rPr>
            </w:pPr>
            <w:r>
              <w:rPr>
                <w:rFonts w:hint="eastAsia" w:ascii="仿宋" w:hAnsi="仿宋" w:cs="仿宋"/>
                <w:sz w:val="24"/>
                <w:lang w:val="en-US" w:eastAsia="zh-CN"/>
              </w:rPr>
              <w:t>4</w:t>
            </w:r>
          </w:p>
        </w:tc>
        <w:tc>
          <w:tcPr>
            <w:tcW w:w="2232" w:type="dxa"/>
          </w:tcPr>
          <w:p>
            <w:pPr>
              <w:adjustRightInd w:val="0"/>
              <w:snapToGrid w:val="0"/>
              <w:rPr>
                <w:rFonts w:ascii="仿宋" w:hAnsi="仿宋" w:cs="仿宋"/>
                <w:sz w:val="24"/>
              </w:rPr>
            </w:pPr>
            <w:r>
              <w:rPr>
                <w:rFonts w:hint="eastAsia" w:ascii="仿宋" w:hAnsi="仿宋" w:cs="仿宋"/>
                <w:sz w:val="24"/>
              </w:rPr>
              <w:t>顶层架构设计及组织运营体系</w:t>
            </w:r>
          </w:p>
        </w:tc>
        <w:tc>
          <w:tcPr>
            <w:tcW w:w="3588" w:type="dxa"/>
          </w:tcPr>
          <w:p>
            <w:pPr>
              <w:numPr>
                <w:ilvl w:val="0"/>
                <w:numId w:val="6"/>
              </w:numPr>
              <w:adjustRightInd w:val="0"/>
              <w:snapToGrid w:val="0"/>
              <w:rPr>
                <w:rFonts w:ascii="仿宋" w:hAnsi="仿宋" w:cs="仿宋"/>
                <w:sz w:val="24"/>
              </w:rPr>
            </w:pPr>
            <w:r>
              <w:rPr>
                <w:rFonts w:hint="eastAsia" w:ascii="仿宋" w:hAnsi="仿宋" w:cs="仿宋"/>
                <w:sz w:val="24"/>
              </w:rPr>
              <w:t>法人治理结构设计</w:t>
            </w:r>
          </w:p>
          <w:p>
            <w:pPr>
              <w:adjustRightInd w:val="0"/>
              <w:snapToGrid w:val="0"/>
              <w:rPr>
                <w:rFonts w:ascii="仿宋" w:hAnsi="仿宋" w:cs="仿宋"/>
                <w:sz w:val="24"/>
              </w:rPr>
            </w:pPr>
            <w:r>
              <w:rPr>
                <w:rFonts w:hint="eastAsia" w:ascii="仿宋" w:hAnsi="仿宋" w:cs="仿宋"/>
                <w:sz w:val="24"/>
              </w:rPr>
              <w:t>（2）董事会、监事会议事规则</w:t>
            </w:r>
          </w:p>
          <w:p>
            <w:pPr>
              <w:adjustRightInd w:val="0"/>
              <w:snapToGrid w:val="0"/>
              <w:rPr>
                <w:rFonts w:ascii="仿宋" w:hAnsi="仿宋" w:cs="仿宋"/>
                <w:sz w:val="24"/>
              </w:rPr>
            </w:pPr>
            <w:r>
              <w:rPr>
                <w:rFonts w:hint="eastAsia" w:ascii="仿宋" w:hAnsi="仿宋" w:cs="仿宋"/>
                <w:sz w:val="24"/>
              </w:rPr>
              <w:t>（3）集团及子公司组织架构及管理体系设计</w:t>
            </w:r>
          </w:p>
          <w:p>
            <w:pPr>
              <w:adjustRightInd w:val="0"/>
              <w:snapToGrid w:val="0"/>
              <w:rPr>
                <w:rFonts w:ascii="仿宋" w:hAnsi="仿宋" w:cs="仿宋"/>
                <w:sz w:val="24"/>
              </w:rPr>
            </w:pPr>
            <w:r>
              <w:rPr>
                <w:rFonts w:hint="eastAsia" w:ascii="仿宋" w:hAnsi="仿宋" w:cs="仿宋"/>
                <w:sz w:val="24"/>
              </w:rPr>
              <w:t>（4）基于业务拓展与劳动定额的岗位及人员编制科学规划设计</w:t>
            </w:r>
          </w:p>
          <w:p>
            <w:pPr>
              <w:adjustRightInd w:val="0"/>
              <w:snapToGrid w:val="0"/>
              <w:rPr>
                <w:rFonts w:ascii="仿宋" w:hAnsi="仿宋" w:cs="仿宋"/>
                <w:sz w:val="24"/>
              </w:rPr>
            </w:pPr>
            <w:r>
              <w:rPr>
                <w:rFonts w:hint="eastAsia" w:ascii="仿宋" w:hAnsi="仿宋" w:cs="仿宋"/>
                <w:sz w:val="24"/>
              </w:rPr>
              <w:t>（5）部门及岗位职责界定</w:t>
            </w:r>
          </w:p>
          <w:p>
            <w:pPr>
              <w:adjustRightInd w:val="0"/>
              <w:snapToGrid w:val="0"/>
              <w:rPr>
                <w:rFonts w:ascii="仿宋" w:hAnsi="仿宋" w:cs="仿宋"/>
                <w:sz w:val="24"/>
              </w:rPr>
            </w:pPr>
            <w:r>
              <w:rPr>
                <w:rFonts w:hint="eastAsia" w:ascii="仿宋" w:hAnsi="仿宋" w:cs="仿宋"/>
                <w:sz w:val="24"/>
              </w:rPr>
              <w:t>（6）集团管控核心职责界面</w:t>
            </w:r>
          </w:p>
          <w:p>
            <w:pPr>
              <w:adjustRightInd w:val="0"/>
              <w:snapToGrid w:val="0"/>
              <w:rPr>
                <w:rFonts w:ascii="仿宋" w:hAnsi="仿宋" w:cs="仿宋"/>
                <w:sz w:val="24"/>
              </w:rPr>
            </w:pPr>
            <w:r>
              <w:rPr>
                <w:rFonts w:hint="eastAsia" w:ascii="仿宋" w:hAnsi="仿宋" w:cs="仿宋"/>
                <w:sz w:val="24"/>
              </w:rPr>
              <w:t>（7）核心业务流程、管理制度设计</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仿宋"/>
                <w:sz w:val="24"/>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仿宋" w:hAnsi="仿宋" w:eastAsia="仿宋" w:cs="仿宋"/>
                <w:sz w:val="24"/>
                <w:lang w:eastAsia="zh-CN"/>
              </w:rPr>
            </w:pPr>
            <w:r>
              <w:rPr>
                <w:rFonts w:hint="eastAsia" w:ascii="仿宋" w:hAnsi="仿宋" w:cs="仿宋"/>
                <w:sz w:val="24"/>
                <w:lang w:val="en-US" w:eastAsia="zh-CN"/>
              </w:rPr>
              <w:t>5</w:t>
            </w:r>
          </w:p>
        </w:tc>
        <w:tc>
          <w:tcPr>
            <w:tcW w:w="2232" w:type="dxa"/>
          </w:tcPr>
          <w:p>
            <w:pPr>
              <w:adjustRightInd w:val="0"/>
              <w:snapToGrid w:val="0"/>
              <w:rPr>
                <w:rFonts w:ascii="仿宋" w:hAnsi="仿宋" w:cs="仿宋"/>
                <w:sz w:val="24"/>
              </w:rPr>
            </w:pPr>
            <w:r>
              <w:rPr>
                <w:rFonts w:hint="eastAsia" w:ascii="仿宋" w:hAnsi="仿宋" w:cs="仿宋"/>
                <w:sz w:val="24"/>
              </w:rPr>
              <w:t>人力资源管理</w:t>
            </w:r>
          </w:p>
        </w:tc>
        <w:tc>
          <w:tcPr>
            <w:tcW w:w="3588" w:type="dxa"/>
          </w:tcPr>
          <w:p>
            <w:pPr>
              <w:adjustRightInd w:val="0"/>
              <w:snapToGrid w:val="0"/>
              <w:rPr>
                <w:rFonts w:ascii="仿宋" w:hAnsi="仿宋" w:cs="仿宋"/>
                <w:sz w:val="24"/>
              </w:rPr>
            </w:pPr>
            <w:r>
              <w:rPr>
                <w:rFonts w:hint="eastAsia" w:ascii="仿宋" w:hAnsi="仿宋" w:cs="仿宋"/>
                <w:sz w:val="24"/>
              </w:rPr>
              <w:t>（1）人才发展规划设计</w:t>
            </w:r>
          </w:p>
          <w:p>
            <w:pPr>
              <w:adjustRightInd w:val="0"/>
              <w:snapToGrid w:val="0"/>
              <w:rPr>
                <w:rFonts w:ascii="仿宋" w:hAnsi="仿宋" w:cs="仿宋"/>
                <w:sz w:val="24"/>
              </w:rPr>
            </w:pPr>
            <w:r>
              <w:rPr>
                <w:rFonts w:hint="eastAsia" w:ascii="仿宋" w:hAnsi="仿宋" w:cs="仿宋"/>
                <w:sz w:val="24"/>
              </w:rPr>
              <w:t>（2）人员身份转变及人才薪酬福利体系搭建</w:t>
            </w:r>
          </w:p>
          <w:p>
            <w:pPr>
              <w:adjustRightInd w:val="0"/>
              <w:snapToGrid w:val="0"/>
              <w:rPr>
                <w:rFonts w:ascii="仿宋" w:hAnsi="仿宋" w:cs="仿宋"/>
                <w:sz w:val="24"/>
              </w:rPr>
            </w:pPr>
            <w:r>
              <w:rPr>
                <w:rFonts w:hint="eastAsia" w:ascii="仿宋" w:hAnsi="仿宋" w:cs="仿宋"/>
                <w:sz w:val="24"/>
              </w:rPr>
              <w:t>（3）岗位设计与任职资格体系、招聘管理、人才素质评价体系</w:t>
            </w:r>
          </w:p>
          <w:p>
            <w:pPr>
              <w:adjustRightInd w:val="0"/>
              <w:snapToGrid w:val="0"/>
              <w:rPr>
                <w:rFonts w:ascii="仿宋" w:hAnsi="仿宋" w:cs="仿宋"/>
                <w:sz w:val="24"/>
              </w:rPr>
            </w:pPr>
            <w:r>
              <w:rPr>
                <w:rFonts w:hint="eastAsia" w:ascii="仿宋" w:hAnsi="仿宋" w:cs="仿宋"/>
                <w:sz w:val="24"/>
              </w:rPr>
              <w:t>（4）薪酬体系、绩效考核体系、员工职业发展体系、培训管理体系</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仿宋"/>
                <w:sz w:val="24"/>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仿宋" w:hAnsi="仿宋" w:eastAsia="仿宋" w:cs="仿宋"/>
                <w:sz w:val="24"/>
                <w:lang w:eastAsia="zh-CN"/>
              </w:rPr>
            </w:pPr>
            <w:r>
              <w:rPr>
                <w:rFonts w:hint="eastAsia" w:ascii="仿宋" w:hAnsi="仿宋" w:cs="仿宋"/>
                <w:color w:val="000000" w:themeColor="text1"/>
                <w:sz w:val="24"/>
                <w:lang w:val="en-US" w:eastAsia="zh-CN"/>
                <w14:textFill>
                  <w14:solidFill>
                    <w14:schemeClr w14:val="tx1"/>
                  </w14:solidFill>
                </w14:textFill>
              </w:rPr>
              <w:t>6</w:t>
            </w:r>
          </w:p>
        </w:tc>
        <w:tc>
          <w:tcPr>
            <w:tcW w:w="2232" w:type="dxa"/>
          </w:tcPr>
          <w:p>
            <w:pPr>
              <w:adjustRightInd w:val="0"/>
              <w:snapToGrid w:val="0"/>
              <w:rPr>
                <w:rFonts w:ascii="仿宋" w:hAnsi="仿宋" w:cs="仿宋"/>
                <w:sz w:val="24"/>
              </w:rPr>
            </w:pPr>
            <w:r>
              <w:rPr>
                <w:rFonts w:hint="eastAsia" w:ascii="仿宋" w:hAnsi="仿宋" w:cs="仿宋"/>
                <w:sz w:val="24"/>
              </w:rPr>
              <w:t>职业经理人</w:t>
            </w:r>
          </w:p>
        </w:tc>
        <w:tc>
          <w:tcPr>
            <w:tcW w:w="3588" w:type="dxa"/>
          </w:tcPr>
          <w:p>
            <w:pPr>
              <w:adjustRightInd w:val="0"/>
              <w:snapToGrid w:val="0"/>
              <w:rPr>
                <w:rFonts w:ascii="仿宋" w:hAnsi="仿宋" w:cs="仿宋"/>
                <w:sz w:val="24"/>
              </w:rPr>
            </w:pPr>
            <w:r>
              <w:rPr>
                <w:rFonts w:hint="eastAsia" w:ascii="仿宋" w:hAnsi="仿宋" w:cs="仿宋"/>
                <w:sz w:val="24"/>
              </w:rPr>
              <w:t>（1）职业经理人身份转变体系搭建</w:t>
            </w:r>
          </w:p>
          <w:p>
            <w:pPr>
              <w:adjustRightInd w:val="0"/>
              <w:snapToGrid w:val="0"/>
              <w:rPr>
                <w:rFonts w:ascii="仿宋" w:hAnsi="仿宋" w:cs="仿宋"/>
                <w:sz w:val="24"/>
              </w:rPr>
            </w:pPr>
            <w:r>
              <w:rPr>
                <w:rFonts w:hint="eastAsia" w:ascii="仿宋" w:hAnsi="仿宋" w:cs="仿宋"/>
                <w:sz w:val="24"/>
              </w:rPr>
              <w:t>（2）职业经理人岗位设计与任职资格体系</w:t>
            </w:r>
          </w:p>
          <w:p>
            <w:pPr>
              <w:adjustRightInd w:val="0"/>
              <w:snapToGrid w:val="0"/>
              <w:rPr>
                <w:rFonts w:ascii="仿宋" w:hAnsi="仿宋" w:cs="仿宋"/>
                <w:sz w:val="24"/>
              </w:rPr>
            </w:pPr>
            <w:r>
              <w:rPr>
                <w:rFonts w:hint="eastAsia" w:ascii="仿宋" w:hAnsi="仿宋" w:cs="仿宋"/>
                <w:sz w:val="24"/>
              </w:rPr>
              <w:t>（3）职业经理人薪酬体系</w:t>
            </w:r>
          </w:p>
          <w:p>
            <w:pPr>
              <w:adjustRightInd w:val="0"/>
              <w:snapToGrid w:val="0"/>
              <w:rPr>
                <w:rFonts w:ascii="仿宋" w:hAnsi="仿宋" w:cs="仿宋"/>
                <w:sz w:val="24"/>
              </w:rPr>
            </w:pPr>
            <w:r>
              <w:rPr>
                <w:rFonts w:hint="eastAsia" w:ascii="仿宋" w:hAnsi="仿宋" w:cs="仿宋"/>
                <w:sz w:val="24"/>
              </w:rPr>
              <w:t>（4）职业经理人考核体系</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仿宋"/>
                <w:sz w:val="24"/>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仿宋" w:hAnsi="仿宋" w:eastAsia="仿宋" w:cs="仿宋"/>
                <w:sz w:val="24"/>
                <w:lang w:eastAsia="zh-CN"/>
              </w:rPr>
            </w:pPr>
            <w:r>
              <w:rPr>
                <w:rFonts w:hint="eastAsia" w:ascii="仿宋" w:hAnsi="仿宋" w:cs="仿宋"/>
                <w:color w:val="000000" w:themeColor="text1"/>
                <w:sz w:val="24"/>
                <w:lang w:val="en-US" w:eastAsia="zh-CN"/>
                <w14:textFill>
                  <w14:solidFill>
                    <w14:schemeClr w14:val="tx1"/>
                  </w14:solidFill>
                </w14:textFill>
              </w:rPr>
              <w:t>7</w:t>
            </w:r>
          </w:p>
        </w:tc>
        <w:tc>
          <w:tcPr>
            <w:tcW w:w="2232" w:type="dxa"/>
          </w:tcPr>
          <w:p>
            <w:pPr>
              <w:adjustRightInd w:val="0"/>
              <w:snapToGrid w:val="0"/>
              <w:rPr>
                <w:rFonts w:ascii="仿宋" w:hAnsi="仿宋" w:cs="仿宋"/>
                <w:sz w:val="24"/>
              </w:rPr>
            </w:pPr>
            <w:r>
              <w:rPr>
                <w:rFonts w:hint="eastAsia" w:ascii="仿宋" w:hAnsi="仿宋" w:cs="仿宋"/>
                <w:sz w:val="24"/>
              </w:rPr>
              <w:t>中长期激励机制</w:t>
            </w:r>
          </w:p>
        </w:tc>
        <w:tc>
          <w:tcPr>
            <w:tcW w:w="3588" w:type="dxa"/>
          </w:tcPr>
          <w:p>
            <w:pPr>
              <w:adjustRightInd w:val="0"/>
              <w:snapToGrid w:val="0"/>
              <w:rPr>
                <w:rFonts w:ascii="仿宋" w:hAnsi="仿宋" w:cs="仿宋"/>
                <w:sz w:val="24"/>
              </w:rPr>
            </w:pPr>
            <w:r>
              <w:rPr>
                <w:rFonts w:hint="eastAsia" w:ascii="仿宋" w:hAnsi="仿宋" w:cs="仿宋"/>
                <w:sz w:val="24"/>
              </w:rPr>
              <w:t>（1）中长期激励模式选择（分红激励、权益激励）</w:t>
            </w:r>
          </w:p>
          <w:p>
            <w:pPr>
              <w:adjustRightInd w:val="0"/>
              <w:snapToGrid w:val="0"/>
              <w:rPr>
                <w:rFonts w:ascii="仿宋" w:hAnsi="仿宋" w:cs="仿宋"/>
                <w:sz w:val="24"/>
              </w:rPr>
            </w:pPr>
            <w:r>
              <w:rPr>
                <w:rFonts w:hint="eastAsia" w:ascii="仿宋" w:hAnsi="仿宋" w:cs="仿宋"/>
                <w:sz w:val="24"/>
              </w:rPr>
              <w:t>（2）中长期激励7定方案</w:t>
            </w:r>
          </w:p>
          <w:p>
            <w:pPr>
              <w:adjustRightInd w:val="0"/>
              <w:snapToGrid w:val="0"/>
              <w:rPr>
                <w:rFonts w:ascii="仿宋" w:hAnsi="仿宋" w:cs="仿宋"/>
                <w:sz w:val="24"/>
              </w:rPr>
            </w:pPr>
            <w:r>
              <w:rPr>
                <w:rFonts w:hint="eastAsia" w:ascii="仿宋" w:hAnsi="仿宋" w:cs="仿宋"/>
                <w:sz w:val="24"/>
              </w:rPr>
              <w:t>（3）中长期激励考核评价体系设计</w:t>
            </w:r>
          </w:p>
          <w:p>
            <w:pPr>
              <w:adjustRightInd w:val="0"/>
              <w:snapToGrid w:val="0"/>
              <w:rPr>
                <w:rFonts w:ascii="仿宋" w:hAnsi="仿宋" w:cs="仿宋"/>
                <w:sz w:val="24"/>
              </w:rPr>
            </w:pPr>
            <w:r>
              <w:rPr>
                <w:rFonts w:hint="eastAsia" w:ascii="仿宋" w:hAnsi="仿宋" w:cs="仿宋"/>
                <w:sz w:val="24"/>
              </w:rPr>
              <w:t>（4）中长期激励持股平台模式设计</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仿宋"/>
                <w:sz w:val="24"/>
              </w:rPr>
            </w:pPr>
            <w:r>
              <w:rPr>
                <w:rFonts w:hint="eastAsia" w:ascii="仿宋" w:hAnsi="仿宋" w:eastAsia="仿宋" w:cs="Arial"/>
                <w:sz w:val="24"/>
                <w:szCs w:val="28"/>
              </w:rPr>
              <w:t>县级口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tcPr>
          <w:p>
            <w:pPr>
              <w:adjustRightInd w:val="0"/>
              <w:snapToGrid w:val="0"/>
              <w:jc w:val="center"/>
              <w:rPr>
                <w:rFonts w:hint="eastAsia" w:ascii="仿宋" w:hAnsi="仿宋" w:eastAsia="仿宋" w:cs="仿宋"/>
                <w:sz w:val="24"/>
                <w:lang w:eastAsia="zh-CN"/>
              </w:rPr>
            </w:pPr>
            <w:r>
              <w:rPr>
                <w:rFonts w:hint="eastAsia" w:ascii="仿宋" w:hAnsi="仿宋" w:cs="仿宋"/>
                <w:sz w:val="24"/>
                <w:lang w:val="en-US" w:eastAsia="zh-CN"/>
              </w:rPr>
              <w:t>8</w:t>
            </w:r>
          </w:p>
        </w:tc>
        <w:tc>
          <w:tcPr>
            <w:tcW w:w="2232" w:type="dxa"/>
          </w:tcPr>
          <w:p>
            <w:pPr>
              <w:adjustRightInd w:val="0"/>
              <w:snapToGrid w:val="0"/>
              <w:rPr>
                <w:rFonts w:ascii="仿宋" w:hAnsi="仿宋" w:cs="仿宋"/>
                <w:sz w:val="24"/>
              </w:rPr>
            </w:pPr>
            <w:r>
              <w:rPr>
                <w:rFonts w:hint="eastAsia" w:ascii="仿宋" w:hAnsi="仿宋" w:cs="仿宋"/>
                <w:sz w:val="24"/>
              </w:rPr>
              <w:t>投融资规划及模式设计</w:t>
            </w:r>
          </w:p>
          <w:p>
            <w:pPr>
              <w:adjustRightInd w:val="0"/>
              <w:snapToGrid w:val="0"/>
              <w:rPr>
                <w:rFonts w:ascii="仿宋" w:hAnsi="仿宋" w:cs="仿宋"/>
                <w:sz w:val="24"/>
              </w:rPr>
            </w:pPr>
          </w:p>
        </w:tc>
        <w:tc>
          <w:tcPr>
            <w:tcW w:w="3588" w:type="dxa"/>
          </w:tcPr>
          <w:p>
            <w:pPr>
              <w:adjustRightInd w:val="0"/>
              <w:snapToGrid w:val="0"/>
              <w:rPr>
                <w:rFonts w:ascii="仿宋" w:hAnsi="仿宋" w:cs="仿宋"/>
                <w:sz w:val="24"/>
              </w:rPr>
            </w:pPr>
            <w:r>
              <w:rPr>
                <w:rFonts w:hint="eastAsia" w:ascii="仿宋" w:hAnsi="仿宋" w:cs="仿宋"/>
                <w:sz w:val="24"/>
              </w:rPr>
              <w:t>（1）融资模式研究</w:t>
            </w:r>
          </w:p>
          <w:p>
            <w:pPr>
              <w:adjustRightInd w:val="0"/>
              <w:snapToGrid w:val="0"/>
              <w:rPr>
                <w:rFonts w:ascii="仿宋" w:hAnsi="仿宋" w:cs="仿宋"/>
                <w:sz w:val="24"/>
              </w:rPr>
            </w:pPr>
            <w:r>
              <w:rPr>
                <w:rFonts w:hint="eastAsia" w:ascii="仿宋" w:hAnsi="仿宋" w:cs="仿宋"/>
                <w:sz w:val="24"/>
              </w:rPr>
              <w:t>（2）产业投融资机制设计</w:t>
            </w:r>
          </w:p>
          <w:p>
            <w:pPr>
              <w:adjustRightInd w:val="0"/>
              <w:snapToGrid w:val="0"/>
              <w:rPr>
                <w:rFonts w:ascii="仿宋" w:hAnsi="仿宋" w:cs="仿宋"/>
                <w:sz w:val="24"/>
              </w:rPr>
            </w:pPr>
            <w:r>
              <w:rPr>
                <w:rFonts w:hint="eastAsia" w:ascii="仿宋" w:hAnsi="仿宋" w:cs="仿宋"/>
                <w:sz w:val="24"/>
              </w:rPr>
              <w:t>（3）融资渠道总体设计规化</w:t>
            </w:r>
          </w:p>
          <w:p>
            <w:pPr>
              <w:adjustRightInd w:val="0"/>
              <w:snapToGrid w:val="0"/>
              <w:rPr>
                <w:rFonts w:ascii="仿宋" w:hAnsi="仿宋" w:cs="仿宋"/>
                <w:sz w:val="24"/>
              </w:rPr>
            </w:pPr>
            <w:r>
              <w:rPr>
                <w:rFonts w:hint="eastAsia" w:ascii="仿宋" w:hAnsi="仿宋" w:cs="仿宋"/>
                <w:sz w:val="24"/>
              </w:rPr>
              <w:t>（4）重点建设项目梳理</w:t>
            </w:r>
          </w:p>
          <w:p>
            <w:pPr>
              <w:adjustRightInd w:val="0"/>
              <w:snapToGrid w:val="0"/>
              <w:rPr>
                <w:rFonts w:ascii="仿宋" w:hAnsi="仿宋" w:cs="仿宋"/>
                <w:sz w:val="24"/>
              </w:rPr>
            </w:pPr>
            <w:r>
              <w:rPr>
                <w:rFonts w:hint="eastAsia" w:ascii="仿宋" w:hAnsi="仿宋" w:cs="仿宋"/>
                <w:sz w:val="24"/>
              </w:rPr>
              <w:t>（5）融资需求及解决方案</w:t>
            </w:r>
          </w:p>
        </w:tc>
        <w:tc>
          <w:tcPr>
            <w:tcW w:w="1254" w:type="dxa"/>
            <w:vAlign w:val="center"/>
          </w:tcPr>
          <w:p>
            <w:pPr>
              <w:spacing w:line="360" w:lineRule="auto"/>
              <w:rPr>
                <w:rFonts w:ascii="仿宋" w:hAnsi="仿宋" w:eastAsia="仿宋" w:cs="Arial"/>
                <w:sz w:val="24"/>
                <w:szCs w:val="28"/>
              </w:rPr>
            </w:pPr>
            <w:r>
              <w:rPr>
                <w:rFonts w:hint="eastAsia" w:ascii="仿宋" w:hAnsi="仿宋" w:eastAsia="仿宋" w:cs="Arial"/>
                <w:sz w:val="24"/>
                <w:szCs w:val="28"/>
              </w:rPr>
              <w:t>省级口</w:t>
            </w:r>
          </w:p>
          <w:p>
            <w:pPr>
              <w:spacing w:line="360" w:lineRule="auto"/>
              <w:rPr>
                <w:rFonts w:ascii="仿宋" w:hAnsi="仿宋" w:eastAsia="仿宋" w:cs="Arial"/>
                <w:sz w:val="24"/>
                <w:szCs w:val="28"/>
              </w:rPr>
            </w:pPr>
            <w:r>
              <w:rPr>
                <w:rFonts w:hint="eastAsia" w:ascii="仿宋" w:hAnsi="仿宋" w:eastAsia="仿宋" w:cs="Arial"/>
                <w:sz w:val="24"/>
                <w:szCs w:val="28"/>
              </w:rPr>
              <w:t>市级口</w:t>
            </w:r>
          </w:p>
          <w:p>
            <w:pPr>
              <w:spacing w:line="360" w:lineRule="auto"/>
              <w:rPr>
                <w:rFonts w:ascii="仿宋" w:hAnsi="仿宋" w:cs="仿宋"/>
                <w:sz w:val="24"/>
              </w:rPr>
            </w:pPr>
            <w:r>
              <w:rPr>
                <w:rFonts w:hint="eastAsia" w:ascii="仿宋" w:hAnsi="仿宋" w:eastAsia="仿宋" w:cs="Arial"/>
                <w:sz w:val="24"/>
                <w:szCs w:val="28"/>
              </w:rPr>
              <w:t>县级口</w:t>
            </w:r>
          </w:p>
        </w:tc>
      </w:tr>
    </w:tbl>
    <w:p>
      <w:pPr>
        <w:pStyle w:val="3"/>
        <w:bidi w:val="0"/>
      </w:pPr>
      <w:bookmarkStart w:id="15" w:name="_Toc26582"/>
      <w:r>
        <w:rPr>
          <w:rFonts w:hint="eastAsia"/>
        </w:rPr>
        <w:t>（二）服务价格</w:t>
      </w:r>
      <w:bookmarkEnd w:id="15"/>
    </w:p>
    <w:p>
      <w:pPr>
        <w:spacing w:line="360" w:lineRule="auto"/>
        <w:ind w:firstLine="562" w:firstLineChars="200"/>
        <w:rPr>
          <w:rFonts w:ascii="仿宋" w:hAnsi="仿宋" w:cs="Arial"/>
          <w:b/>
          <w:sz w:val="28"/>
          <w:szCs w:val="28"/>
        </w:rPr>
      </w:pPr>
      <w:r>
        <w:rPr>
          <w:rFonts w:hint="eastAsia" w:ascii="仿宋" w:hAnsi="仿宋" w:cs="Arial"/>
          <w:b/>
          <w:sz w:val="28"/>
          <w:szCs w:val="28"/>
        </w:rPr>
        <w:t>1、定制型内容</w:t>
      </w:r>
    </w:p>
    <w:p>
      <w:pPr>
        <w:spacing w:line="360" w:lineRule="auto"/>
        <w:ind w:firstLine="560" w:firstLineChars="200"/>
        <w:rPr>
          <w:rFonts w:ascii="仿宋" w:hAnsi="仿宋" w:cs="仿宋"/>
          <w:sz w:val="28"/>
          <w:szCs w:val="28"/>
        </w:rPr>
      </w:pPr>
      <w:r>
        <w:rPr>
          <w:rFonts w:hint="eastAsia" w:ascii="仿宋" w:hAnsi="仿宋" w:cs="仿宋"/>
          <w:sz w:val="28"/>
          <w:szCs w:val="28"/>
        </w:rPr>
        <w:t xml:space="preserve">国有企业根据自身不同的业务需求，选择【模块 </w:t>
      </w:r>
      <w:r>
        <w:rPr>
          <w:rFonts w:hint="eastAsia" w:ascii="仿宋" w:hAnsi="仿宋" w:cs="仿宋"/>
          <w:sz w:val="28"/>
          <w:szCs w:val="28"/>
          <w:lang w:val="en-US" w:eastAsia="zh-CN"/>
        </w:rPr>
        <w:t>1</w:t>
      </w:r>
      <w:r>
        <w:rPr>
          <w:rFonts w:hint="eastAsia" w:ascii="仿宋" w:hAnsi="仿宋" w:cs="仿宋"/>
          <w:sz w:val="28"/>
          <w:szCs w:val="28"/>
        </w:rPr>
        <w:t xml:space="preserve">】、【模块 </w:t>
      </w:r>
      <w:r>
        <w:rPr>
          <w:rFonts w:hint="eastAsia" w:ascii="仿宋" w:hAnsi="仿宋" w:cs="仿宋"/>
          <w:sz w:val="28"/>
          <w:szCs w:val="28"/>
          <w:lang w:val="en-US" w:eastAsia="zh-CN"/>
        </w:rPr>
        <w:t>2</w:t>
      </w:r>
      <w:r>
        <w:rPr>
          <w:rFonts w:hint="eastAsia" w:ascii="仿宋" w:hAnsi="仿宋" w:cs="仿宋"/>
          <w:sz w:val="28"/>
          <w:szCs w:val="28"/>
        </w:rPr>
        <w:t xml:space="preserve">】、【模块 </w:t>
      </w:r>
      <w:r>
        <w:rPr>
          <w:rFonts w:hint="eastAsia" w:ascii="仿宋" w:hAnsi="仿宋" w:cs="仿宋"/>
          <w:sz w:val="28"/>
          <w:szCs w:val="28"/>
          <w:lang w:val="en-US" w:eastAsia="zh-CN"/>
        </w:rPr>
        <w:t>3</w:t>
      </w:r>
      <w:r>
        <w:rPr>
          <w:rFonts w:hint="eastAsia" w:ascii="仿宋" w:hAnsi="仿宋" w:cs="仿宋"/>
          <w:sz w:val="28"/>
          <w:szCs w:val="28"/>
        </w:rPr>
        <w:t xml:space="preserve">】、【模块 </w:t>
      </w:r>
      <w:r>
        <w:rPr>
          <w:rFonts w:hint="eastAsia" w:ascii="仿宋" w:hAnsi="仿宋" w:cs="仿宋"/>
          <w:sz w:val="28"/>
          <w:szCs w:val="28"/>
          <w:lang w:val="en-US" w:eastAsia="zh-CN"/>
        </w:rPr>
        <w:t>4</w:t>
      </w:r>
      <w:r>
        <w:rPr>
          <w:rFonts w:hint="eastAsia" w:ascii="仿宋" w:hAnsi="仿宋" w:cs="仿宋"/>
          <w:sz w:val="28"/>
          <w:szCs w:val="28"/>
        </w:rPr>
        <w:t xml:space="preserve">】、【模块 </w:t>
      </w:r>
      <w:r>
        <w:rPr>
          <w:rFonts w:hint="eastAsia" w:ascii="仿宋" w:hAnsi="仿宋" w:cs="仿宋"/>
          <w:sz w:val="28"/>
          <w:szCs w:val="28"/>
          <w:lang w:val="en-US" w:eastAsia="zh-CN"/>
        </w:rPr>
        <w:t>5</w:t>
      </w:r>
      <w:r>
        <w:rPr>
          <w:rFonts w:hint="eastAsia" w:ascii="仿宋" w:hAnsi="仿宋" w:cs="仿宋"/>
          <w:sz w:val="28"/>
          <w:szCs w:val="28"/>
        </w:rPr>
        <w:t>】、【模块</w:t>
      </w:r>
      <w:r>
        <w:rPr>
          <w:rFonts w:hint="eastAsia" w:ascii="仿宋" w:hAnsi="仿宋" w:cs="仿宋"/>
          <w:sz w:val="28"/>
          <w:szCs w:val="28"/>
          <w:lang w:val="en-US" w:eastAsia="zh-CN"/>
        </w:rPr>
        <w:t xml:space="preserve"> 6</w:t>
      </w:r>
      <w:r>
        <w:rPr>
          <w:rFonts w:hint="eastAsia" w:ascii="仿宋" w:hAnsi="仿宋" w:cs="仿宋"/>
          <w:sz w:val="28"/>
          <w:szCs w:val="28"/>
        </w:rPr>
        <w:t xml:space="preserve">】、【模块 </w:t>
      </w:r>
      <w:r>
        <w:rPr>
          <w:rFonts w:hint="eastAsia" w:ascii="仿宋" w:hAnsi="仿宋" w:cs="仿宋"/>
          <w:sz w:val="28"/>
          <w:szCs w:val="28"/>
          <w:lang w:val="en-US" w:eastAsia="zh-CN"/>
        </w:rPr>
        <w:t>7</w:t>
      </w:r>
      <w:r>
        <w:rPr>
          <w:rFonts w:hint="eastAsia" w:ascii="仿宋" w:hAnsi="仿宋" w:cs="仿宋"/>
          <w:sz w:val="28"/>
          <w:szCs w:val="28"/>
        </w:rPr>
        <w:t xml:space="preserve">】、【模块 </w:t>
      </w:r>
      <w:r>
        <w:rPr>
          <w:rFonts w:hint="eastAsia" w:ascii="仿宋" w:hAnsi="仿宋" w:cs="仿宋"/>
          <w:sz w:val="28"/>
          <w:szCs w:val="28"/>
          <w:lang w:val="en-US" w:eastAsia="zh-CN"/>
        </w:rPr>
        <w:t>8</w:t>
      </w:r>
      <w:r>
        <w:rPr>
          <w:rFonts w:hint="eastAsia" w:ascii="仿宋" w:hAnsi="仿宋" w:cs="仿宋"/>
          <w:sz w:val="28"/>
          <w:szCs w:val="28"/>
        </w:rPr>
        <w:t>】之间的任意组合，或者选择单一模块业务，价格按照该模块收取。</w:t>
      </w:r>
    </w:p>
    <w:p>
      <w:pPr>
        <w:spacing w:line="360" w:lineRule="auto"/>
        <w:ind w:firstLine="562" w:firstLineChars="200"/>
        <w:rPr>
          <w:rFonts w:ascii="仿宋" w:hAnsi="仿宋" w:cs="仿宋"/>
          <w:b/>
          <w:sz w:val="28"/>
          <w:szCs w:val="28"/>
        </w:rPr>
      </w:pPr>
      <w:r>
        <w:rPr>
          <w:rFonts w:hint="eastAsia" w:ascii="仿宋" w:hAnsi="仿宋" w:cs="仿宋"/>
          <w:b/>
          <w:sz w:val="28"/>
          <w:szCs w:val="28"/>
        </w:rPr>
        <w:t>2、顾问式服务</w:t>
      </w:r>
    </w:p>
    <w:p>
      <w:pPr>
        <w:spacing w:line="360" w:lineRule="auto"/>
        <w:ind w:firstLine="560" w:firstLineChars="200"/>
        <w:rPr>
          <w:rFonts w:ascii="仿宋" w:hAnsi="仿宋" w:cs="仿宋"/>
          <w:sz w:val="28"/>
          <w:szCs w:val="28"/>
        </w:rPr>
      </w:pPr>
      <w:r>
        <w:rPr>
          <w:rFonts w:hint="eastAsia" w:ascii="仿宋" w:hAnsi="仿宋" w:cs="仿宋"/>
          <w:sz w:val="28"/>
          <w:szCs w:val="28"/>
        </w:rPr>
        <w:t>国有企业选择该种服务，我们主要提供建议和审核意见，主要的文字撰写工作、资料收集整理工作、业务分析等工作均由国有企业自己完成。顾问式服务的服务费用为每年收取。</w:t>
      </w:r>
    </w:p>
    <w:p>
      <w:pPr>
        <w:spacing w:line="360" w:lineRule="auto"/>
        <w:ind w:firstLine="562" w:firstLineChars="200"/>
        <w:rPr>
          <w:rFonts w:ascii="仿宋" w:hAnsi="仿宋" w:cs="仿宋"/>
          <w:b/>
          <w:bCs/>
          <w:sz w:val="28"/>
          <w:szCs w:val="28"/>
        </w:rPr>
      </w:pPr>
      <w:r>
        <w:rPr>
          <w:rFonts w:hint="eastAsia" w:ascii="仿宋" w:hAnsi="仿宋" w:cs="仿宋"/>
          <w:b/>
          <w:bCs/>
          <w:sz w:val="28"/>
          <w:szCs w:val="28"/>
        </w:rPr>
        <w:t xml:space="preserve">（三）收费方式 </w:t>
      </w:r>
    </w:p>
    <w:p>
      <w:pPr>
        <w:spacing w:line="360" w:lineRule="auto"/>
        <w:ind w:firstLine="560" w:firstLineChars="200"/>
        <w:rPr>
          <w:rFonts w:ascii="仿宋" w:hAnsi="仿宋" w:cs="仿宋"/>
          <w:sz w:val="28"/>
          <w:szCs w:val="28"/>
        </w:rPr>
      </w:pPr>
      <w:r>
        <w:rPr>
          <w:rFonts w:hint="eastAsia" w:ascii="仿宋" w:hAnsi="仿宋" w:cs="仿宋"/>
          <w:sz w:val="28"/>
          <w:szCs w:val="28"/>
        </w:rPr>
        <w:t>1、双方委托服务合同签订后的【5 个工作日内】，国有企业或者相关方支付首付款，为服务费的【50%】。</w:t>
      </w:r>
    </w:p>
    <w:p>
      <w:pPr>
        <w:spacing w:line="360" w:lineRule="auto"/>
        <w:ind w:firstLine="560" w:firstLineChars="200"/>
        <w:rPr>
          <w:rFonts w:ascii="仿宋" w:hAnsi="仿宋" w:cs="仿宋"/>
          <w:sz w:val="28"/>
          <w:szCs w:val="28"/>
        </w:rPr>
      </w:pPr>
      <w:r>
        <w:rPr>
          <w:rFonts w:hint="eastAsia" w:ascii="仿宋" w:hAnsi="仿宋" w:cs="仿宋"/>
          <w:sz w:val="28"/>
          <w:szCs w:val="28"/>
        </w:rPr>
        <w:t>2、材料初审版完成后提交审核之前，支付服务费的【30%】。</w:t>
      </w:r>
    </w:p>
    <w:p>
      <w:pPr>
        <w:spacing w:line="360" w:lineRule="auto"/>
        <w:ind w:firstLine="560" w:firstLineChars="200"/>
        <w:rPr>
          <w:rFonts w:ascii="仿宋" w:hAnsi="仿宋" w:cs="仿宋"/>
          <w:sz w:val="28"/>
          <w:szCs w:val="28"/>
        </w:rPr>
      </w:pPr>
      <w:r>
        <w:rPr>
          <w:rFonts w:hint="eastAsia" w:ascii="仿宋" w:hAnsi="仿宋" w:cs="仿宋"/>
          <w:sz w:val="28"/>
          <w:szCs w:val="28"/>
        </w:rPr>
        <w:t>3、方案审核通过后，支付服务费的【20%】。</w:t>
      </w:r>
    </w:p>
    <w:p>
      <w:pPr>
        <w:spacing w:line="360" w:lineRule="auto"/>
        <w:ind w:firstLine="560" w:firstLineChars="200"/>
        <w:rPr>
          <w:rFonts w:ascii="仿宋" w:hAnsi="仿宋" w:cs="仿宋"/>
          <w:sz w:val="28"/>
          <w:szCs w:val="28"/>
        </w:rPr>
      </w:pPr>
      <w:r>
        <w:rPr>
          <w:rFonts w:hint="eastAsia" w:ascii="仿宋" w:hAnsi="仿宋" w:cs="仿宋"/>
          <w:sz w:val="28"/>
          <w:szCs w:val="28"/>
        </w:rPr>
        <w:t>4、鉴于本收费为优惠价格，中至远所发生的差旅费由国有企业承担。</w:t>
      </w:r>
    </w:p>
    <w:p>
      <w:pPr>
        <w:spacing w:line="360" w:lineRule="auto"/>
        <w:ind w:firstLine="562" w:firstLineChars="200"/>
        <w:rPr>
          <w:rFonts w:ascii="仿宋" w:hAnsi="仿宋" w:cs="仿宋"/>
          <w:b/>
          <w:bCs/>
          <w:sz w:val="28"/>
          <w:szCs w:val="28"/>
        </w:rPr>
      </w:pPr>
      <w:r>
        <w:rPr>
          <w:rFonts w:hint="eastAsia" w:ascii="仿宋" w:hAnsi="仿宋" w:cs="仿宋"/>
          <w:b/>
          <w:bCs/>
          <w:sz w:val="28"/>
          <w:szCs w:val="28"/>
        </w:rPr>
        <w:t xml:space="preserve">（四）其他收益 </w:t>
      </w:r>
    </w:p>
    <w:p>
      <w:pPr>
        <w:spacing w:line="360" w:lineRule="auto"/>
        <w:ind w:firstLine="560" w:firstLineChars="200"/>
        <w:rPr>
          <w:rFonts w:ascii="仿宋" w:hAnsi="仿宋" w:cs="仿宋"/>
          <w:sz w:val="28"/>
          <w:szCs w:val="28"/>
        </w:rPr>
      </w:pPr>
      <w:r>
        <w:rPr>
          <w:rFonts w:hint="eastAsia" w:ascii="仿宋" w:hAnsi="仿宋" w:cs="仿宋"/>
          <w:sz w:val="28"/>
          <w:szCs w:val="28"/>
        </w:rPr>
        <w:t>1、若在改革过程中，国有企业需要提供其他服务则根据服务内容另行确定收费价格。</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2、若中至远参与国企改革服务过程中提供其他工作，例如推荐了投资人、运营方或者参与资金的筹集（包括以基金模式），以及其他对项目具有重要影响的资源，则中至远应获得额外报酬，具体金额一事一议。</w:t>
      </w: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spacing w:line="360" w:lineRule="auto"/>
        <w:ind w:firstLine="560" w:firstLineChars="200"/>
        <w:rPr>
          <w:rFonts w:hint="eastAsia" w:ascii="仿宋" w:hAnsi="仿宋" w:cs="仿宋"/>
          <w:sz w:val="28"/>
          <w:szCs w:val="28"/>
        </w:rPr>
      </w:pPr>
    </w:p>
    <w:p>
      <w:pPr>
        <w:pStyle w:val="2"/>
        <w:bidi w:val="0"/>
        <w:rPr>
          <w:rFonts w:hint="eastAsia"/>
        </w:rPr>
      </w:pPr>
      <w:bookmarkStart w:id="16" w:name="_Toc17126"/>
      <w:r>
        <w:rPr>
          <w:rFonts w:hint="eastAsia"/>
          <w:lang w:val="en-US" w:eastAsia="zh-CN"/>
        </w:rPr>
        <w:t>五、</w:t>
      </w:r>
      <w:r>
        <w:rPr>
          <w:rFonts w:hint="eastAsia"/>
        </w:rPr>
        <w:t>服务专家及主要业绩</w:t>
      </w:r>
      <w:bookmarkEnd w:id="16"/>
    </w:p>
    <w:p>
      <w:pPr>
        <w:spacing w:line="360" w:lineRule="auto"/>
        <w:ind w:firstLine="562" w:firstLineChars="200"/>
        <w:rPr>
          <w:rFonts w:hint="eastAsia" w:ascii="仿宋" w:hAnsi="仿宋" w:cs="仿宋"/>
          <w:sz w:val="28"/>
          <w:szCs w:val="28"/>
        </w:rPr>
      </w:pPr>
      <w:r>
        <w:rPr>
          <w:rFonts w:hint="eastAsia" w:ascii="仿宋" w:hAnsi="仿宋" w:cs="仿宋"/>
          <w:b/>
          <w:sz w:val="28"/>
          <w:szCs w:val="28"/>
        </w:rPr>
        <w:t>周丽莎</w:t>
      </w:r>
      <w:r>
        <w:rPr>
          <w:rFonts w:hint="eastAsia" w:ascii="仿宋" w:hAnsi="仿宋" w:cs="仿宋"/>
          <w:sz w:val="28"/>
          <w:szCs w:val="28"/>
        </w:rPr>
        <w:t xml:space="preserve"> 国务院国资委研究中心副研究员、兼任中国国有企业改革研究会研究员，新华社经济管理智库特聘研究员。清华大学经济研究所博士后。中至远集团副总裁、国企改革专家组长。</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主持研究项目（选摘）：连续三年承担国务院国企改革领导小组《关于深化国有企业改革的指导意见》政策实施追踪及成效评估研究；承担国务院国资委年度重点课题《以管资本为主加强国有资产监管》、《国有资本投资、运营公司相关问题研究》、《国有资本运营公司收益管理研究》等。出版《关于深化国有企业改革的指导意见百题问答》，解读了国资监管体制、两类公司等最新改革政策；承担2016年度国家社科基金《国有企业技术创新实践研究课题研究》；发布《中国国企国资改革发展报告2018》，专辟章节撰写分类推进国有企业改革、改革国有资本授权经营体制等研究工作，目前正在筹备撰写《中国国企国资改革发展报告2019》。</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主持国企改革实施成果（摘选）：完成《国电投国有资本投资公司试点方案》（已被列为第三批国有资本投资公司试点）、《中海油管资本为主管控模式研究》、《天津港构建国有资本投资公司模式研究》、《中关村发展集团国有资本投资运营试点方案》等中央企业和地方国有企业国有资本投资公司试点方案。主持研究中心召开的国有资本投资、运营公司模式研究交流会，会上中粮、国投、诚通、国新、中交、宝武钢、五矿等中央企业国有资本投资、运营公司试点进行充分交流。参与调研广东、上海、重庆、四川、山东等地国资监管部门对国有资本投资公司试点监管模式，并实地调研广东恒建、深圳创投、上海国盛、上海国际、四川发展、重庆渝富、山东国投等国有资本投资公司试点。通过会谈、调研等形式，对于国有资本投资、运营公司试点经验进行了总结，对于其管控模式、组织架构、产融结合等方面进行了梳理。</w:t>
      </w:r>
    </w:p>
    <w:p>
      <w:pPr>
        <w:spacing w:line="360" w:lineRule="auto"/>
        <w:ind w:firstLine="562" w:firstLineChars="200"/>
        <w:rPr>
          <w:rFonts w:hint="eastAsia" w:ascii="仿宋" w:hAnsi="仿宋" w:cs="仿宋"/>
          <w:b/>
          <w:sz w:val="28"/>
          <w:szCs w:val="28"/>
        </w:rPr>
      </w:pPr>
    </w:p>
    <w:p>
      <w:pPr>
        <w:spacing w:line="360" w:lineRule="auto"/>
        <w:ind w:firstLine="562" w:firstLineChars="200"/>
        <w:rPr>
          <w:rFonts w:ascii="仿宋" w:hAnsi="仿宋" w:cs="仿宋"/>
          <w:sz w:val="28"/>
          <w:szCs w:val="28"/>
        </w:rPr>
      </w:pPr>
      <w:r>
        <w:rPr>
          <w:rFonts w:hint="eastAsia" w:ascii="仿宋" w:hAnsi="仿宋" w:cs="仿宋"/>
          <w:b/>
          <w:sz w:val="28"/>
          <w:szCs w:val="28"/>
        </w:rPr>
        <w:t>席加省</w:t>
      </w:r>
      <w:r>
        <w:rPr>
          <w:rFonts w:hint="eastAsia" w:ascii="仿宋" w:hAnsi="仿宋" w:cs="仿宋"/>
          <w:sz w:val="28"/>
          <w:szCs w:val="28"/>
        </w:rPr>
        <w:t xml:space="preserve"> 资深咨询顾问  中至远副总裁</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长期致力于公司战略、公司治理、集团管控、人力资源等领域的研究与实践，拥有15年以上的国企改革、管理咨询经验及企业高级管理工作经验。北京大学、清华大学等著名大学的EMBA、总裁班特聘讲师，《中外管理》、《北大商业评论》等专业管理杂志特约作者，发表文章数百篇，现担任10余家公司的常年管理顾问。</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北京大学研究生毕业，长期致力于企业管理的研究与实践，具有深厚的专业理论知识以及丰富的实践经验，擅长系统解决企业管理实践中出现的问题，为客户量身定做极具操作性的方案。在战略规划、商业模式设计、公司治理、组织变革及集团管控、人力资源管理、市场营销、国企改革等专业领域拥有丰富的咨询经验。</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深度服务客户超过100家，执行咨询项目超过150个。咨询客户包括中国人寿、中国移动、中航工业、上汽红岩、中信地产、衡水老白干、摩托罗拉（中国）、斗山（中国）、一汽丰田、美的集团、科龙集团、天际电器、万家乐、欧普照明等，涵盖国企、外企、合资企业、民企等多种企业类型，能为客户提供系统、全面的咨询服务。</w:t>
      </w:r>
    </w:p>
    <w:p>
      <w:pPr>
        <w:spacing w:line="360" w:lineRule="auto"/>
        <w:ind w:firstLine="560" w:firstLineChars="200"/>
        <w:rPr>
          <w:rFonts w:hint="eastAsia" w:ascii="仿宋" w:hAnsi="仿宋" w:cs="仿宋"/>
          <w:sz w:val="28"/>
          <w:szCs w:val="28"/>
        </w:rPr>
      </w:pPr>
    </w:p>
    <w:p>
      <w:pPr>
        <w:spacing w:line="360" w:lineRule="auto"/>
        <w:ind w:firstLine="562" w:firstLineChars="200"/>
        <w:rPr>
          <w:rFonts w:hint="eastAsia" w:ascii="仿宋" w:hAnsi="仿宋" w:cs="仿宋"/>
          <w:b/>
          <w:sz w:val="28"/>
          <w:szCs w:val="28"/>
        </w:rPr>
      </w:pPr>
      <w:r>
        <w:rPr>
          <w:rFonts w:hint="eastAsia" w:ascii="仿宋" w:hAnsi="仿宋" w:cs="仿宋"/>
          <w:b/>
          <w:sz w:val="28"/>
          <w:szCs w:val="28"/>
        </w:rPr>
        <w:t xml:space="preserve">林正刚  </w:t>
      </w:r>
      <w:r>
        <w:rPr>
          <w:rFonts w:hint="eastAsia" w:ascii="仿宋" w:hAnsi="仿宋" w:cs="仿宋"/>
          <w:sz w:val="28"/>
          <w:szCs w:val="28"/>
        </w:rPr>
        <w:t>现任中国经济体制改革研究会产委会投融资专家委员会主任委员；中国投资协会投融资专委会专家委员；国家发改委PPP金融专家、财政部PPP财务（金融）专家。中至远集团总裁。国际注册融资规划师、国际注册私募投资基金管理师、律师，金融硕士研究生。</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在资产债务重组和企业并购运作、PPP（政府与社会资本合作）方面有着丰富的经验。长期致力于国有企业改革、融资平台公司市场化转型的咨询与投资实践，尤其是在隐性债务的处置、混改、员工股权激励及企业投融资体系设计方面具备丰富的实战经验。擅长政府公共服务项目的股权及债务融资，能够为产业基金的发起、设立及运作提供优质的服务。</w:t>
      </w:r>
    </w:p>
    <w:p>
      <w:pPr>
        <w:spacing w:line="360" w:lineRule="auto"/>
        <w:ind w:firstLine="560" w:firstLineChars="200"/>
        <w:rPr>
          <w:rFonts w:hint="eastAsia" w:ascii="仿宋" w:hAnsi="仿宋" w:cs="仿宋"/>
          <w:sz w:val="28"/>
          <w:szCs w:val="28"/>
        </w:rPr>
      </w:pPr>
      <w:r>
        <w:rPr>
          <w:rFonts w:hint="eastAsia" w:ascii="仿宋" w:hAnsi="仿宋" w:cs="仿宋"/>
          <w:sz w:val="28"/>
          <w:szCs w:val="28"/>
        </w:rPr>
        <w:t>曾主持完成了数十家平台公司及国有企业的并购、重整及转型升级工作。先后为100多个PPP项目提供咨询或顾问服务，其中提供咨询的5个PPP项目被评为财政部国家示范项目。参与发起设立省、市、县级引导基金及企业产业基金规模超过300亿元。参与的住建部《PPP模式在城市综合管廊工程中的应用研究》入选住建部2016年科学技术项目规划-编号：2016-R3-005。参与国家能源局《关于民间资本投资电力领域的课题研究》。曾在多家媒体发表的《隐性债务倒逼地方政府投融资模式重构》、《PPP模式是破解特色小镇融资挑战的一种有效途径》、《资管、私募新规双剑合璧，PPP路在何方》等相关文章收到业界的好评。</w:t>
      </w:r>
    </w:p>
    <w:p>
      <w:pPr>
        <w:spacing w:line="360" w:lineRule="auto"/>
        <w:ind w:firstLine="560" w:firstLineChars="200"/>
        <w:rPr>
          <w:rFonts w:ascii="仿宋" w:hAnsi="仿宋" w:cs="仿宋"/>
          <w:sz w:val="28"/>
          <w:szCs w:val="28"/>
        </w:rPr>
      </w:pPr>
    </w:p>
    <w:sectPr>
      <w:footerReference r:id="rId4" w:type="default"/>
      <w:pgSz w:w="11906" w:h="16838"/>
      <w:pgMar w:top="2268" w:right="2041" w:bottom="2268" w:left="2041" w:header="851" w:footer="992" w:gutter="0"/>
      <w:pgNumType w:fmt="decimal" w:start="1"/>
      <w:cols w:space="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lang w:val="en-US" w:eastAsia="zh-CN"/>
      </w:rPr>
      <w:t>集团总部地址：北京市石景山区苹果园中铁创业大厦B座8层中至远集团    010-57385296</w:t>
    </w:r>
  </w:p>
  <w:p>
    <w:pPr>
      <w:pStyle w:val="6"/>
      <w:ind w:left="0" w:leftChars="0" w:firstLine="0" w:firstLineChars="0"/>
      <w:jc w:val="center"/>
      <w:rPr>
        <w:rFonts w:hint="eastAsia" w:eastAsiaTheme="minorEastAsia"/>
        <w:lang w:val="en-US" w:eastAsia="zh-CN"/>
      </w:rPr>
    </w:pPr>
    <w:r>
      <w:rPr>
        <w:rFonts w:hint="eastAsia"/>
        <w:lang w:val="en-US" w:eastAsia="zh-CN"/>
      </w:rPr>
      <w:t>中至远集团市场部总经理 姚帅  13810503045（同微信）</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40"/>
      <w:jc w:val="right"/>
      <w:rPr>
        <w:rFonts w:ascii="黑体" w:hAnsi="黑体" w:eastAsia="黑体"/>
      </w:rPr>
    </w:pPr>
    <w:r>
      <w:rPr>
        <w:sz w:val="21"/>
      </w:rPr>
      <w:drawing>
        <wp:anchor distT="0" distB="0" distL="114300" distR="114300" simplePos="0" relativeHeight="251659264" behindDoc="0" locked="0" layoutInCell="1" allowOverlap="1">
          <wp:simplePos x="0" y="0"/>
          <wp:positionH relativeFrom="column">
            <wp:posOffset>4889500</wp:posOffset>
          </wp:positionH>
          <wp:positionV relativeFrom="paragraph">
            <wp:posOffset>-47625</wp:posOffset>
          </wp:positionV>
          <wp:extent cx="719455" cy="287655"/>
          <wp:effectExtent l="0" t="0" r="4445" b="0"/>
          <wp:wrapNone/>
          <wp:docPr id="2" name="图片 2" descr="C:\Users\57173\AppData\Local\Temp\WeChat Files\27581987808595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57173\AppData\Local\Temp\WeChat Files\2758198780859519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19455" cy="287655"/>
                  </a:xfrm>
                  <a:prstGeom prst="rect">
                    <a:avLst/>
                  </a:prstGeom>
                  <a:noFill/>
                  <a:ln>
                    <a:noFill/>
                  </a:ln>
                </pic:spPr>
              </pic:pic>
            </a:graphicData>
          </a:graphic>
        </wp:anchor>
      </w:drawing>
    </w:r>
    <w:r>
      <w:rPr>
        <w:rFonts w:hint="eastAsia" w:ascii="黑体" w:hAnsi="黑体" w:eastAsia="黑体"/>
      </w:rPr>
      <w:t>国企改革服务方案</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082A6"/>
    <w:multiLevelType w:val="singleLevel"/>
    <w:tmpl w:val="82F082A6"/>
    <w:lvl w:ilvl="0" w:tentative="0">
      <w:start w:val="1"/>
      <w:numFmt w:val="decimal"/>
      <w:suff w:val="nothing"/>
      <w:lvlText w:val="（%1）"/>
      <w:lvlJc w:val="left"/>
    </w:lvl>
  </w:abstractNum>
  <w:abstractNum w:abstractNumId="1">
    <w:nsid w:val="87914681"/>
    <w:multiLevelType w:val="singleLevel"/>
    <w:tmpl w:val="87914681"/>
    <w:lvl w:ilvl="0" w:tentative="0">
      <w:start w:val="1"/>
      <w:numFmt w:val="decimal"/>
      <w:suff w:val="nothing"/>
      <w:lvlText w:val="（%1）"/>
      <w:lvlJc w:val="left"/>
    </w:lvl>
  </w:abstractNum>
  <w:abstractNum w:abstractNumId="2">
    <w:nsid w:val="BA7F43F4"/>
    <w:multiLevelType w:val="singleLevel"/>
    <w:tmpl w:val="BA7F43F4"/>
    <w:lvl w:ilvl="0" w:tentative="0">
      <w:start w:val="1"/>
      <w:numFmt w:val="decimal"/>
      <w:suff w:val="nothing"/>
      <w:lvlText w:val="（%1）"/>
      <w:lvlJc w:val="left"/>
    </w:lvl>
  </w:abstractNum>
  <w:abstractNum w:abstractNumId="3">
    <w:nsid w:val="13539CE4"/>
    <w:multiLevelType w:val="singleLevel"/>
    <w:tmpl w:val="13539CE4"/>
    <w:lvl w:ilvl="0" w:tentative="0">
      <w:start w:val="1"/>
      <w:numFmt w:val="decimal"/>
      <w:suff w:val="nothing"/>
      <w:lvlText w:val="%1、"/>
      <w:lvlJc w:val="left"/>
    </w:lvl>
  </w:abstractNum>
  <w:abstractNum w:abstractNumId="4">
    <w:nsid w:val="40151371"/>
    <w:multiLevelType w:val="singleLevel"/>
    <w:tmpl w:val="40151371"/>
    <w:lvl w:ilvl="0" w:tentative="0">
      <w:start w:val="1"/>
      <w:numFmt w:val="decimal"/>
      <w:suff w:val="nothing"/>
      <w:lvlText w:val="（%1）"/>
      <w:lvlJc w:val="left"/>
    </w:lvl>
  </w:abstractNum>
  <w:abstractNum w:abstractNumId="5">
    <w:nsid w:val="5EF5B804"/>
    <w:multiLevelType w:val="singleLevel"/>
    <w:tmpl w:val="5EF5B804"/>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07C9C"/>
    <w:rsid w:val="0049278E"/>
    <w:rsid w:val="004F328F"/>
    <w:rsid w:val="00697C00"/>
    <w:rsid w:val="006F1B93"/>
    <w:rsid w:val="00704182"/>
    <w:rsid w:val="007D4C82"/>
    <w:rsid w:val="0095601B"/>
    <w:rsid w:val="009C3A2F"/>
    <w:rsid w:val="00AE7F41"/>
    <w:rsid w:val="00CE47FB"/>
    <w:rsid w:val="00D0658A"/>
    <w:rsid w:val="00D97D3A"/>
    <w:rsid w:val="00E336DA"/>
    <w:rsid w:val="00EE7596"/>
    <w:rsid w:val="00FA358D"/>
    <w:rsid w:val="019D2493"/>
    <w:rsid w:val="025D3898"/>
    <w:rsid w:val="02D74899"/>
    <w:rsid w:val="04747D8B"/>
    <w:rsid w:val="04774A17"/>
    <w:rsid w:val="049A1DA3"/>
    <w:rsid w:val="05EA15FD"/>
    <w:rsid w:val="083A4757"/>
    <w:rsid w:val="0A4A1C57"/>
    <w:rsid w:val="0C163E3B"/>
    <w:rsid w:val="0CFF04FC"/>
    <w:rsid w:val="0E23098C"/>
    <w:rsid w:val="0E7338B7"/>
    <w:rsid w:val="0F5D2DFB"/>
    <w:rsid w:val="110B5DF2"/>
    <w:rsid w:val="147233F6"/>
    <w:rsid w:val="15A56557"/>
    <w:rsid w:val="15C12C32"/>
    <w:rsid w:val="1788357B"/>
    <w:rsid w:val="18E20149"/>
    <w:rsid w:val="19672C29"/>
    <w:rsid w:val="1974495D"/>
    <w:rsid w:val="19972094"/>
    <w:rsid w:val="1A2673B9"/>
    <w:rsid w:val="1CDC30CA"/>
    <w:rsid w:val="1CF458DF"/>
    <w:rsid w:val="1D1137E4"/>
    <w:rsid w:val="1EC806DE"/>
    <w:rsid w:val="207E14DB"/>
    <w:rsid w:val="20C75CA0"/>
    <w:rsid w:val="20D64572"/>
    <w:rsid w:val="2133705D"/>
    <w:rsid w:val="218A7880"/>
    <w:rsid w:val="229B0EDD"/>
    <w:rsid w:val="235A2FC0"/>
    <w:rsid w:val="24B010F4"/>
    <w:rsid w:val="259C07FD"/>
    <w:rsid w:val="27801AE3"/>
    <w:rsid w:val="279B4070"/>
    <w:rsid w:val="29AE54B3"/>
    <w:rsid w:val="2B5524BA"/>
    <w:rsid w:val="2BC03E1F"/>
    <w:rsid w:val="2F97776D"/>
    <w:rsid w:val="320B4846"/>
    <w:rsid w:val="34DE628D"/>
    <w:rsid w:val="355F608D"/>
    <w:rsid w:val="35B22128"/>
    <w:rsid w:val="36483EC1"/>
    <w:rsid w:val="36FE544D"/>
    <w:rsid w:val="3A5B365B"/>
    <w:rsid w:val="3C1D18BA"/>
    <w:rsid w:val="3C396046"/>
    <w:rsid w:val="3C9204DA"/>
    <w:rsid w:val="3CB871C4"/>
    <w:rsid w:val="3E2D72C0"/>
    <w:rsid w:val="3F99171F"/>
    <w:rsid w:val="405B34E3"/>
    <w:rsid w:val="41FB1C9F"/>
    <w:rsid w:val="43127C66"/>
    <w:rsid w:val="443314A4"/>
    <w:rsid w:val="4503777D"/>
    <w:rsid w:val="451248D5"/>
    <w:rsid w:val="48281CC1"/>
    <w:rsid w:val="4BA914BC"/>
    <w:rsid w:val="4D371395"/>
    <w:rsid w:val="4E1E13F9"/>
    <w:rsid w:val="4F2E7B16"/>
    <w:rsid w:val="4F791CFC"/>
    <w:rsid w:val="4FFF60CE"/>
    <w:rsid w:val="502332B5"/>
    <w:rsid w:val="50580782"/>
    <w:rsid w:val="50A8709C"/>
    <w:rsid w:val="5165525F"/>
    <w:rsid w:val="55407D7C"/>
    <w:rsid w:val="56BE2B64"/>
    <w:rsid w:val="56F45DFB"/>
    <w:rsid w:val="591964CA"/>
    <w:rsid w:val="5AA65432"/>
    <w:rsid w:val="5D740A81"/>
    <w:rsid w:val="5E180B7B"/>
    <w:rsid w:val="5F923113"/>
    <w:rsid w:val="60EE7398"/>
    <w:rsid w:val="62176E63"/>
    <w:rsid w:val="6278104F"/>
    <w:rsid w:val="64AE0F9C"/>
    <w:rsid w:val="65A579EE"/>
    <w:rsid w:val="65D15C72"/>
    <w:rsid w:val="679335E3"/>
    <w:rsid w:val="68DA6897"/>
    <w:rsid w:val="6B733555"/>
    <w:rsid w:val="6D9A0718"/>
    <w:rsid w:val="6DED7235"/>
    <w:rsid w:val="6EB04C71"/>
    <w:rsid w:val="6F5F0233"/>
    <w:rsid w:val="70AA436D"/>
    <w:rsid w:val="77A477A1"/>
    <w:rsid w:val="782C3C84"/>
    <w:rsid w:val="78CE5E1E"/>
    <w:rsid w:val="79712957"/>
    <w:rsid w:val="7A43399E"/>
    <w:rsid w:val="7B167723"/>
    <w:rsid w:val="7D107C9C"/>
    <w:rsid w:val="7D34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0"/>
      <w:szCs w:val="24"/>
      <w:lang w:val="en-US" w:eastAsia="zh-CN" w:bidi="ar-SA"/>
    </w:rPr>
  </w:style>
  <w:style w:type="paragraph" w:styleId="2">
    <w:name w:val="heading 1"/>
    <w:basedOn w:val="1"/>
    <w:next w:val="1"/>
    <w:link w:val="19"/>
    <w:qFormat/>
    <w:uiPriority w:val="0"/>
    <w:pPr>
      <w:keepNext/>
      <w:keepLines/>
      <w:spacing w:line="576" w:lineRule="auto"/>
      <w:jc w:val="center"/>
      <w:outlineLvl w:val="0"/>
    </w:pPr>
    <w:rPr>
      <w:rFonts w:eastAsia="华文中宋" w:asciiTheme="minorAscii" w:hAnsiTheme="minorAscii"/>
      <w:b/>
      <w:kern w:val="44"/>
      <w:sz w:val="32"/>
    </w:rPr>
  </w:style>
  <w:style w:type="paragraph" w:styleId="3">
    <w:name w:val="heading 2"/>
    <w:basedOn w:val="1"/>
    <w:next w:val="1"/>
    <w:link w:val="20"/>
    <w:unhideWhenUsed/>
    <w:qFormat/>
    <w:uiPriority w:val="0"/>
    <w:pPr>
      <w:keepNext/>
      <w:keepLines/>
      <w:spacing w:before="260" w:after="260" w:line="415" w:lineRule="auto"/>
      <w:outlineLvl w:val="1"/>
    </w:pPr>
    <w:rPr>
      <w:rFonts w:ascii="等线 Light" w:hAnsi="等线 Light" w:cs="Times New Roman"/>
      <w:b/>
      <w:bCs/>
      <w:sz w:val="28"/>
      <w:szCs w:val="32"/>
    </w:rPr>
  </w:style>
  <w:style w:type="paragraph" w:styleId="4">
    <w:name w:val="heading 3"/>
    <w:basedOn w:val="1"/>
    <w:next w:val="1"/>
    <w:link w:val="14"/>
    <w:semiHidden/>
    <w:unhideWhenUsed/>
    <w:qFormat/>
    <w:uiPriority w:val="0"/>
    <w:pPr>
      <w:keepNext/>
      <w:keepLines/>
      <w:spacing w:before="260" w:after="260" w:line="415" w:lineRule="auto"/>
      <w:outlineLvl w:val="2"/>
    </w:pPr>
    <w:rPr>
      <w:rFonts w:eastAsia="楷体"/>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basedOn w:val="13"/>
    <w:link w:val="4"/>
    <w:qFormat/>
    <w:uiPriority w:val="0"/>
    <w:rPr>
      <w:rFonts w:eastAsia="楷体" w:asciiTheme="minorHAnsi" w:hAnsiTheme="minorHAnsi"/>
      <w:bCs/>
      <w:sz w:val="30"/>
      <w:szCs w:val="32"/>
    </w:rPr>
  </w:style>
  <w:style w:type="character" w:customStyle="1" w:styleId="15">
    <w:name w:val="页眉 Char"/>
    <w:basedOn w:val="13"/>
    <w:link w:val="7"/>
    <w:qFormat/>
    <w:uiPriority w:val="99"/>
    <w:rPr>
      <w:rFonts w:asciiTheme="minorHAnsi" w:hAnsiTheme="minorHAnsi" w:eastAsiaTheme="minorEastAsia" w:cstheme="minorBidi"/>
      <w:kern w:val="2"/>
      <w:sz w:val="18"/>
      <w:szCs w:val="18"/>
    </w:rPr>
  </w:style>
  <w:style w:type="character" w:customStyle="1" w:styleId="16">
    <w:name w:val="批注框文本 Char"/>
    <w:basedOn w:val="13"/>
    <w:link w:val="5"/>
    <w:qFormat/>
    <w:uiPriority w:val="0"/>
    <w:rPr>
      <w:rFonts w:eastAsia="仿宋" w:asciiTheme="minorHAnsi" w:hAnsiTheme="minorHAnsi" w:cstheme="minorBidi"/>
      <w:kern w:val="2"/>
      <w:sz w:val="18"/>
      <w:szCs w:val="18"/>
    </w:rPr>
  </w:style>
  <w:style w:type="character" w:customStyle="1" w:styleId="17">
    <w:name w:val="页脚 Char"/>
    <w:basedOn w:val="13"/>
    <w:link w:val="6"/>
    <w:qFormat/>
    <w:uiPriority w:val="0"/>
    <w:rPr>
      <w:rFonts w:eastAsia="仿宋" w:asciiTheme="minorHAnsi" w:hAnsiTheme="minorHAnsi"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标题 1 Char"/>
    <w:link w:val="2"/>
    <w:qFormat/>
    <w:uiPriority w:val="0"/>
    <w:rPr>
      <w:rFonts w:eastAsia="华文中宋" w:asciiTheme="minorAscii" w:hAnsiTheme="minorAscii"/>
      <w:b/>
      <w:kern w:val="44"/>
      <w:sz w:val="32"/>
    </w:rPr>
  </w:style>
  <w:style w:type="character" w:customStyle="1" w:styleId="20">
    <w:name w:val="标题 2 Char"/>
    <w:link w:val="3"/>
    <w:uiPriority w:val="0"/>
    <w:rPr>
      <w:rFonts w:ascii="等线 Light" w:hAnsi="等线 Light" w:eastAsia="仿宋"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5543</Words>
  <Characters>5633</Characters>
  <Lines>39</Lines>
  <Paragraphs>11</Paragraphs>
  <TotalTime>2</TotalTime>
  <ScaleCrop>false</ScaleCrop>
  <LinksUpToDate>false</LinksUpToDate>
  <CharactersWithSpaces>5847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2019-02-26T01:34:00Z</dcterms:created>
  <dc:creator>周丽</dc:creator>
  <cp:lastModifiedBy>姚帅</cp:lastModifiedBy>
  <dcterms:modified xsi:type="dcterms:W3CDTF">2020-05-29T06:51:25Z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